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2011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Парке высоких технологий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ty94xji1-mgbgnquqp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2024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правовую основу государственной поддержки развития индустрии разработки программного обеспечения, а также функционирования Парка высоких технологий, его органов управления, резидентов, основные принципы формирования режима Парка высоких технологий, включая основные принципы налогообложения резидентов.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Понятия и определения,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Парк высоких технологий Кыргызской Республики - зона с режимом Парка высоких технологий для юридических и физических лиц, которые являются резидентами Парка высоких технологий и осуществляют свою деятельность в соответствии со статьей 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Парка высоких технологий - специальный правовой, налоговый режим, действующий в отношении резидентов Парка высоких технологий, устанавливающий освобождение от налогов и льгот по страховым взносам в соответствии с законодательством Кыргызской Республики, действующий в отношении резидентов Парка высоких технологий при условии осуществления ими видов деятельности Парка высоких технологий, перечисленных в статье 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Резидент Парка высоких технологий - юридическое или физическое лицо, зарегистрированное в качестве резидента в установленном настоящим Законом и иными актами, предусмотренными в нем,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Интерактивный сервисный центр (call-центр) - центр, предоставляющий услуги по обработке входящих и исходящих звонков с использованием программно-аппаратных комплексов, а также предоставляющий услуги виртуального офиса, технической поддержки, по аренде рабочих мест и программного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объединение производителей программных продуктов - общественное объединение, представляющее интересы разработчиков и производителей программных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-auu1foh2nzccapwfz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2024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задачи Парка высоких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Парка высоких технологий (далее - ПВТ)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отечественной индустрии разработки программного обеспечения, информационных новых и высоких технологий, а также предоставление услуг интерактивных сервисных центров (call-центров);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комплексной системы государственной поддержки отечественного наукоемкого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результатов научно-технической деятельности компаний на отечественном и международном рынках, увеличение экспорта разработки программного обеспечения и услуг в области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путем создания благоприятной налоговой и деловой среды для международных представителей отрасли разработки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благоприятной среды и инфраструктуры для легализации отечественной индустрии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развития науки и образования для увеличения числа специалистов в области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способствование внедрению современных мировых стандартов качества разработки программного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Виды деятельности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деятельности ПВТ: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программного обеспечения, включая: анализ, проектирование и программирование информационных систем, в том числе готовых для внедрения, анализ информационных потребностей и проблем пользователей, проектирование, разработка, поставка и документирование индивидуального и/или готового программного обеспечения, в том числе отвечающего заказам конкретных потребителей, корректировка программ по указанию пользователя;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экспорт информационных технологий и программного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оказание услуг интерактивных сервисных центров.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Структура и органы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состоит из 9 членов, избирается на 3 года и формируется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 члена назначаются Жогорку Кенешем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 члена назначаются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 члена назначаются профессиональным объединением производителей программных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ПВТ избирается членами Наблюдательного совета из своего состава. </w:t>
      </w:r>
      <w:r>
        <w:rPr>
          <w:rFonts w:ascii="Arial" w:cs="Arial" w:eastAsia="Arial" w:hAnsi="Arial"/>
          <w:sz w:val="24"/>
          <w:szCs w:val="24"/>
        </w:rPr>
        <w:t xml:space="preserve">При равенстве голосов голос председателя Наблюдательного совета ПВТ считается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осуществляет свою деятельность на основании положения, утверждаемого решением Кабинета Министров Кыргызской Республики. Наблюдательный совет назначает и отстраняет от должности директора ПВТ, утверждает бюджет дирекции ПВТ, принимает решения об окончательной регистрации резидента и лишении статуса 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Непосредственное руководство деятельностью ПВТ осуществляется исполнительным органом ПВТ - дирекцией ПВТ, возглавляемой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bklrslwuwkw2gxljfx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2024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6. Резиденты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резидента ПВТ может быть зарегистрировано юридическое или физическое лицо, чьи доходы не менее чем на 90% состоят из доходов, полученных в результате осуществления видов деятельности, перечисленных в статье 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юридические или физические лица также могут быть зарегистрированы в качестве резидента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в качестве резидента ПВТ юридическое или физическое лицо, претендующее на такую регистрацию, подает заявление по форме, установленной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или физическое лицо, имеющее в качестве основного вида деятельности в соответствии с его уставом (в случае его наличия) один или несколько видов деятельности, указанных в статье 4 настоящего Закона, получившее соответствующее заключение уполномоченного органа управления дирекции ПВТ, подлежит первичной регистрации в качестве резидента ПВТ сроком на 6 календарных месяцев с даты первичной регистрации. Первичная регистрация удостоверяется свидетельством.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6 календарных месяцев с даты первичной регистрации резидент ПВТ представляет отчет по установленной Наблюдательным советом ПВТ форме. В случае установления уполномоченным органом управления дирекции ПВТ соответствия видов деятельности, осуществлявшихся резидентом ПВТ в течение срока первичной регистрации, видам, определенным статьей 4, а также при соответствии резидентом условиям, определенным абзацем первым настоящей статьи, резидент ПВТ подлежит окончательной регистрации в качестве резидента ПВТ и информация о нем вносится в единый реестр резидентов ПВТ. Окончательная регистрация является бессрочной и удостоверяется свидетельством.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резидентов ПВТ законодательство Кыргызской Республики действует в части, не противоречащей настоящему Закону, и вне зависимости от места фактического пребывания и/или регистрации юридического адреса при условии осуществления деятельности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фактов осуществления резидентом ПВТ видов деятельности, отличающихся от видов деятельности ПВТ, если это привело к нарушению условий, определенных абзацем первым настоящей статьи, первичная регистрация в качестве резидента ПВТ аннулируется и юридическое лицо или индивидуальный предприниматель подлежит налогообложению на общих основаниях, в том числе и за период первичной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Резидент ПВТ может быть лишен статуса резидента ПВТ исключительно в случае выявления фактов осуществления им видов деятельности, отличающихся от направления деятельности ПВТ, если это привело к нарушению условий, определенных абзацем первым настоящей статьи, или иного нарушения положений настоящей статьи, или повторяющегося уклонения от ежеквартальных отчислений в соответствии со статьей 7 настоящего Закона. Регистрация резидента ПВТ может быть аннулирована Наблюдательным советом с момента выявления осуществления видов деятельности, противоречащих статье 4 настоящего Закона, либо с момента начала их осуществления.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лишении статуса резидента ПВТ, а также решение об аннулировании первичной регистрации резидента ПВТ могут быть обжалованы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Лишение статуса резидента ПВТ может быть осуществлено на основании заявления резидента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регулирование трудовых отношений сотрудников резидентов ПВТ определяется законодательством Кыргызской Республики о труде, а также конвенциями Международной организации труда, вступившими в силу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взаиморасчетов за товары и оказываемые услуги резидент ПВТ использует исключительно безналичные платежи.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одного года с момента окончательной регистрации не менее 80% товаров и услуг должны направляться на экспорт и/или не менее 80% доходов резидента ПВТ должны быть выручены в результате экспорта 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 правоотношений резидента ПВТ и дирекции ПВТ определяются заключаемым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Деятельность дирекции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обеспечения функционирования ПВТ формируется бюджет дирекции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дирекции ПВТ будет осуществляться за счет ежеквартальных отчислений резидентами ПВТ в размере 1% от выручки, полученной за предшествующий квартал в результате осуществления ими видов деятельности ПВТ, иных доходов и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дирекцию ПВТ распространяется действие режима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Режим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резидентов ПВТ действует особый налоговый режим, определяемый налоговым законодательством Кыргызской Республики. Сотрудники резидентов ПВТ в установленном порядке подлежат государственному социальному страхованию, определяемому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Законодательство Кыргызской Республики о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Отношения, возникающие в связи с деятельностью ПВТ и регистрацией резидентов ПВТ, регулируются настоящим Законом, налоговым законодательством, другими нормативными правовыми актами Кыргызской Республики и международными договорами, вступившими в силу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договором, вступившим в силу в соответствии с законодательством Кыргызской Республики, установлены иные правила, которые содержатся в настоящем Законе,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принятие нормативных правовых актов, вытекающих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в Жогорку Кенеш Кыргызской Республики предложения о приведении законодательства Кыргызской Республики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hyq3hedibyr0ceifz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dalil.kg/document/203327</w:t>
      </w:r>
    </w:hyperlink>
  </w:p>
  <w:p>
    <w:pPr>
      <w:spacing w:after="0" w:before="40"/>
      <w:jc w:val="center"/>
    </w:pPr>
    <w:hyperlink w:history="1" r:id="rIdyzwzoajt5vzwjfkf9la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y94xji1-mgbgnquqpun" Type="http://schemas.openxmlformats.org/officeDocument/2006/relationships/hyperlink" Target="https://dalil.kg/document/230017183" TargetMode="External"/><Relationship Id="rIdy-auu1foh2nzccapwfz3x" Type="http://schemas.openxmlformats.org/officeDocument/2006/relationships/hyperlink" Target="https://dalil.kg/document/230017183" TargetMode="External"/><Relationship Id="rIdebklrslwuwkw2gxljfxei" Type="http://schemas.openxmlformats.org/officeDocument/2006/relationships/hyperlink" Target="https://dalil.kg/document/2300171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hyq3hedibyr0ceifzx9" Type="http://schemas.openxmlformats.org/officeDocument/2006/relationships/hyperlink" Target="https://dalil.kg/document/203327" TargetMode="External"/><Relationship Id="rIdyzwzoajt5vzwjfkf9la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2026-09-24T19:22:13.384Z</dcterms:created>
  <dcterms:modified xsi:type="dcterms:W3CDTF">2026-09-24T19:22:13.384Z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