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 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октября 2011 года № 161 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некоторые законодательные акты 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 В редакции Законов  КР от </w:t>
      </w:r>
      <w:hyperlink w:history="1" r:id="rIdatiokccluo7wksvs1ft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октября 2013 года № 195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_uwr1h35ek0j8kla_rr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августа 2023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169</w:t>
        </w:r>
      </w:hyperlink>
      <w:r>
        <w:rPr>
          <w:rFonts w:ascii="Arial" w:cs="Arial" w:eastAsia="Arial" w:hAnsi="Arial"/>
          <w:sz w:val="24"/>
          <w:szCs w:val="24"/>
        </w:rPr>
        <w:t xml:space="preserve">) 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xn1_euikklhsankziv3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экспортном контроле" (Ведомости Жогорку Кенеша Кыргызской Республики, 2003 г., № 3, ст.135)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</w:t>
      </w:r>
      <w:hyperlink w:history="1" r:id="rIdapr0_tri5fvqowb7jzn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"Национальный контрольный список Кыргызской Республики контролируемой продукции утверждается Правительством Кыргызской Республики по согласованию с профильным комитетом Жогорку Кенеша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"Участник внешнеэкономической деятельности вправе поручить проведение идентификации контролируемых товаров и технологий организации, получившей в установленном Правительством Кыргызской Республики порядке специальное разрешение на осуществление деятельности по идентификации контролируемых товаров и технологий (далее - экспертная организация), посредством заключения соответствующего договора с такой экспертной организацией. В этом случае ответственность за правильность и обоснованность результатов идентификации контролируемых товаров и технологий несет экспертная организация.".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Абзац шестой части 1 </w:t>
      </w:r>
      <w:hyperlink w:history="1" r:id="rIdkyx2bp_pzvinqa5huvl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 согласованию с профильным комитетом Жогорку Кенеша Кыргызской Республики утверждает Национальный контрольный список Кыргызской Республики и Перечень стран, в которые запрещен или ограничен экспорт этой продукции, а также устанавливает количественные ограничения экспорта, импорта и реэкспорта контролируемой продукции;".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hyperlink w:history="1" r:id="rIdcza410qznpa1ku5gbqg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14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восьмым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"занятие деятельностью, не совместимой с требованиями вступивших в установленном законом порядке в силу международных договоров, участницей которых является Кыргызская Республика.".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  (Утратил силу в соответствии с </w:t>
      </w:r>
      <w:hyperlink w:history="1" r:id="rIdkicl5zx-dpnl-6kwje87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19 октября 2013 года № 195)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(Утратила силу в соответствии с </w:t>
      </w:r>
      <w:hyperlink w:history="1" r:id="rId8rwzhnjmv_ba3zhuari3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8 августа 2023 года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169)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tiokccluo7wksvs1ftub" Type="http://schemas.openxmlformats.org/officeDocument/2006/relationships/hyperlink" Target="http://kodeks.duckdns.org/document/205058" TargetMode="External"/><Relationship Id="rId1_uwr1h35ek0j8kla_rr9" Type="http://schemas.openxmlformats.org/officeDocument/2006/relationships/hyperlink" Target="http://kodeks.duckdns.org/document/112653" TargetMode="External"/><Relationship Id="rIdxn1_euikklhsankziv3vp" Type="http://schemas.openxmlformats.org/officeDocument/2006/relationships/hyperlink" Target="http://kodeks.duckdns.org/document/1154" TargetMode="External"/><Relationship Id="rIdapr0_tri5fvqowb7jznhq" Type="http://schemas.openxmlformats.org/officeDocument/2006/relationships/hyperlink" Target="http://kodeks.duckdns.org/document/1154#st_6" TargetMode="External"/><Relationship Id="rIdkyx2bp_pzvinqa5huvlbi" Type="http://schemas.openxmlformats.org/officeDocument/2006/relationships/hyperlink" Target="http://kodeks.duckdns.org/document/1154#st_8" TargetMode="External"/><Relationship Id="rIdcza410qznpa1ku5gbqgpc" Type="http://schemas.openxmlformats.org/officeDocument/2006/relationships/hyperlink" Target="http://kodeks.duckdns.org/document/1154#st_14" TargetMode="External"/><Relationship Id="rIdkicl5zx-dpnl-6kwje87c" Type="http://schemas.openxmlformats.org/officeDocument/2006/relationships/hyperlink" Target="http://kodeks.duckdns.org/document/205058" TargetMode="External"/><Relationship Id="rId8rwzhnjmv_ba3zhuari3a" Type="http://schemas.openxmlformats.org/officeDocument/2006/relationships/hyperlink" Target="http://kodeks.duckdns.org/document/112653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2026-09-23T01:39:24.413Z</dcterms:created>
  <dcterms:modified xsi:type="dcterms:W3CDTF">2026-09-23T01:39:24.413Z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