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hyperlink w:history="1" r:id="rIdbkupyx_q-0us_basx0egc">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24 января 2017 года N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 ноября 2011 года № 195</w:t>
      </w:r>
    </w:p>
    <w:p>
      <w:pPr>
        <w:spacing w:after="120"/>
        <w:jc w:val="both"/>
      </w:pPr>
      <w:r>
        <w:rPr>
          <w:rFonts w:ascii="Arial" w:cs="Arial" w:eastAsia="Arial" w:hAnsi="Arial"/>
          <w:sz w:val="24"/>
          <w:szCs w:val="24"/>
        </w:rPr>
        <w:t xml:space="preserve">О внесении изменения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w:t>
      </w:r>
      <w:hyperlink w:history="1" r:id="rIdibgcwduf1dohhd037ggb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7, ст.229) следующее изменение:</w:t>
      </w:r>
    </w:p>
    <w:p>
      <w:pPr>
        <w:spacing w:after="120"/>
        <w:jc w:val="both"/>
      </w:pPr>
      <w:r>
        <w:rPr>
          <w:rFonts w:ascii="Arial" w:cs="Arial" w:eastAsia="Arial" w:hAnsi="Arial"/>
          <w:sz w:val="24"/>
          <w:szCs w:val="24"/>
        </w:rPr>
        <w:t xml:space="preserve">статью 157 изложить в следующей редакции:</w:t>
      </w:r>
    </w:p>
    <w:p>
      <w:pPr>
        <w:spacing w:after="120"/>
        <w:jc w:val="both"/>
      </w:pPr>
      <w:r>
        <w:rPr>
          <w:rFonts w:ascii="Arial" w:cs="Arial" w:eastAsia="Arial" w:hAnsi="Arial"/>
          <w:sz w:val="24"/>
          <w:szCs w:val="24"/>
        </w:rPr>
        <w:t xml:space="preserve">"Статья 157. Вовлечение несовершеннолетнего в совершение</w:t>
      </w:r>
    </w:p>
    <w:p>
      <w:pPr>
        <w:spacing w:after="120"/>
        <w:jc w:val="both"/>
      </w:pPr>
      <w:r>
        <w:rPr>
          <w:rFonts w:ascii="Arial" w:cs="Arial" w:eastAsia="Arial" w:hAnsi="Arial"/>
          <w:sz w:val="24"/>
          <w:szCs w:val="24"/>
        </w:rPr>
        <w:t xml:space="preserve">антиобщественных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несовершеннолетнего лица в пьянство, употребление наркотических средств или других одурманивающих веществ без назначения врача, проституцию, совершение сексуальных действий, занятие бродяжничеством или попрошайничеством либо использование его в бродяжничестве или попрошайничестве, совершенные лицом, достигшим восемнадцатилетнего возраста,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ограничением свободы на срок от одного года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Те же деяния, совершенные родителем, педагогом или иным лицом, на которое законом возложены обязанности по воспитанию несовершеннолетнего, -</w:t>
      </w:r>
    </w:p>
    <w:p>
      <w:pPr>
        <w:spacing w:after="120"/>
        <w:jc w:val="both"/>
      </w:pPr>
      <w:r>
        <w:rPr>
          <w:rFonts w:ascii="Arial" w:cs="Arial" w:eastAsia="Arial" w:hAnsi="Arial"/>
          <w:sz w:val="24"/>
          <w:szCs w:val="24"/>
        </w:rPr>
        <w:t xml:space="preserve">наказываются штрафом в размере от трехсот до пятисот расчетных показателей либо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или с угрозой его применения,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права занимать определенные должности или заниматься определенной деятельностью на срок до пяти лет либо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Примечание. Действие настоящей статьи не распространяется на случаи вовлечения несовершеннолетнего в бродяжничество либо использования его в бродяжничестве, если эти деяния совершены родителем вследствие стечения тяжелых жизненных обстоятельств, вызванных утратой источника существования или отсутствием места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kupyx_q-0us_basx0egc" Type="http://schemas.openxmlformats.org/officeDocument/2006/relationships/hyperlink" Target="http://kodeks.duckdns.org/document/111703" TargetMode="External"/><Relationship Id="rIdibgcwduf1dohhd037ggb2" Type="http://schemas.openxmlformats.org/officeDocument/2006/relationships/hyperlink" Target="http://kodeks.duckdns.org/document/56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2026-09-22T23:45:48.256Z</dcterms:created>
  <dcterms:modified xsi:type="dcterms:W3CDTF">2026-09-22T23:45:48.256Z</dcterms:modified>
</cp:coreProperties>
</file>

<file path=docProps/custom.xml><?xml version="1.0" encoding="utf-8"?>
<Properties xmlns="http://schemas.openxmlformats.org/officeDocument/2006/custom-properties" xmlns:vt="http://schemas.openxmlformats.org/officeDocument/2006/docPropsVTypes"/>
</file>