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d8t7_vexppyoys5cgt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гарантийных фондах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egub0m0rwyrzzvel0_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организационно-правовых формах, предусмотренных настоящим Законом, с целью повышения доступности для субъектов малого и среднего предпринимательства банковских кредитов, направляемых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предприятий, путем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учреждения</w:t>
      </w:r>
      <w:r>
        <w:rPr>
          <w:rFonts w:ascii="Arial" w:cs="Arial" w:eastAsia="Arial" w:hAnsi="Arial"/>
          <w:sz w:val="24"/>
          <w:szCs w:val="24"/>
        </w:rPr>
        <w:t xml:space="preserve"> - банки, микрофинансовые организации, которые на основании выданных им лицензий Национального банка Кыргызской Республики имеют право осуществлять банковские операции, заключившие или намеревающиеся заключить с гарантийным фондом соглашение о сотрудничестве и кредитующие субъекты малого и среднего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капитал</w:t>
      </w:r>
      <w:r>
        <w:rPr>
          <w:rFonts w:ascii="Arial" w:cs="Arial" w:eastAsia="Arial" w:hAnsi="Arial"/>
          <w:sz w:val="24"/>
          <w:szCs w:val="24"/>
        </w:rPr>
        <w:t xml:space="preserve"> - совокупность финансовых ресурсов, консолидированных гарантийным фондом, для обеспечения исполнения обязательств субъектов малого и среднего предпринимательства перед кредиторами путем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субъекта малого и среднего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обязательства субъекта малого и среднего предпринимательства, возникшие по кредитным договорам и соответствующие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 (поручительство)</w:t>
      </w:r>
      <w:r>
        <w:rPr>
          <w:rFonts w:ascii="Arial" w:cs="Arial" w:eastAsia="Arial" w:hAnsi="Arial"/>
          <w:sz w:val="24"/>
          <w:szCs w:val="24"/>
        </w:rPr>
        <w:t xml:space="preserve">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финансово-кредитным учреждением по кредитному договору, договору лизинга (далее - кредитный договор).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случай</w:t>
      </w:r>
      <w:r>
        <w:rPr>
          <w:rFonts w:ascii="Arial" w:cs="Arial" w:eastAsia="Arial" w:hAnsi="Arial"/>
          <w:sz w:val="24"/>
          <w:szCs w:val="24"/>
        </w:rPr>
        <w:t xml:space="preserve"> - факт неисполнения субъектами малого и среднего предпринимательства обязательств по кредитному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предоставления гарантий (поручительств)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 и регламентирующий порядок и условия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малого и среднего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лица, занимающиеся предпринимательской деятельностью без образования юридического лица, коммерческие организации и предприятия, определенные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субъект малого и среднего предпринимательства, заключивший кредитный, лизинговый договор с финансово-кредитным учреждением с долей гарантийного обеспечения (поручительства)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коэффициент превышения объема гарантий (поручительств) гарантийного фонда, который готово принять финансово-кредитное учреждение, над средствами гарантийного фонда, размещенными в указанном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гарантийных фондов, направленная на предоставление гарантий (поручительств) клиентам.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учредители, акционеры, пайщики и члены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на требование от клиента возмещения суммы, выплаченной финансово-кредитному учреждению во исполнение обязательства по договору гарантии (поручительство).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фонд", а в своем кратком наименовании - соответственно аббревиатуру "ГФ".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 и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Организационно-правовые формы гарантийных фондов. Деятельность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Гарантийные фонды могут создаваться в форме акционерных обществ, обществ с ограниченной ответственностью, кооперативов, учреждений и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Объединения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Филиалы и представительства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головного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их создавший гарантийный фонд несет полную ответственность за действия филиалов и/или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Независимость гарантийных фондов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и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самостоятельно устанавливается гарантийным фондом в соответствии с договором, заключаемым с клиентом.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Гарантийный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Гарантийный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капитал гарантийного фонда состоит из полностью оплаченного уставного капитала, нераспределенной прибыли, добровольных безвозмездных пожертвований и взносов,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Уставный капитал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не может быть ниже 6 миллионов сомов, за исключением гарантийных фондов, созданных и действующих до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срока деятельности размер собственного капитала гарантийного фонда должен быть не менее минимального размера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из физических и юридических лиц в уставном капитале гарантийного фонда не ограничена.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dzqalo4x0bpnlhryxuv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октября 2016 года № 172)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уставного капитала гарантийного фонда осуществляется в денежной форме. В состав уставного капитала входит уставный капитал, который не является заемным.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вложенные участниками в уставный капитал гарантийного фонда, могут быть получены ими только путем продажи принадлежащих им акций, долей или паев.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xzk-usrpugxswkxjd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Источники формирования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Уставный капитал гарантийного фонда может формироваться за счет средств республиканского, местного бюджетов, добровольных взносов и других внебюджетных источников,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консолидируется гарантийным фондом путем его размещения в банковских вкладах (депозитах).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Основные условия и порядок предоставления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Предоставление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(поручительств) гарантийным фондом осуществляется путем заключения договора гарантии (поручительства) между гарантийным фондом, финансово-кредитным учреждением и субъектом малого и среднего предпринимательства на условиях, определенных настоящим Законом и регламентом предоставления гарантий (поручительств), на основании решения Оценочной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Оценочной комиссии определяется участниками гарантийного фонда. Члены Оценочной комиссии назначаются высшим органом управления гарантийного фонда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обязательств субъектов малого и среднего предпринимательства, обеспечиваемых гарантией (поручительством) гарантийного фонда, и требования к данным субъектам определяются соответствующим компетентным органом гарантийного фонда в порядке и на условиях, установленных настоящим Законом и уставом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принимает гарантии (поручительства) от гарантийного фонда по коэффициенту мультипликатора, установленному по соглашению между гарантийным фондом и финансово-кредитным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Основные условия предоставления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(поручительства) гарантийного фонда предоставляются на необеспеченную часть обязательства субъекта предпринимательской деятельности по кредитному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(поручительства) не должен превышать 50 процентов от объема основного обязательства (основной суммы кредита) клиента перед финансово-кредитным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(поручительства) гарантийного фонда на одного клиента не может превышать 10 процентов от общей суммы гарантийного капитала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(поручительства) осуществляется на возмездной основе и определяется договором гарантии (поручительства).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vc0g-coe18en6-ezpe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при неисполнении или ненадлежащем исполнении клиентом обеспеченного гарантией (поручительством) обязательства является солидарной в размере, указанном в договоре гарантии (поручительства).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уплате процентов по кредиту, неустойки, штрафа, пени,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кредита. При этом финансово-кредитное учреждение в срок не позднее 5 рабочих дней со дня неисполнения клиентом обязательств по кредитному договору в письменном виде уведомляет гарантийный фонд о нарушении условий кредитного договора, допущенном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финансово-кредитным учреждением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(поручительства) за счет средств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кредитному договору к гарантийному фонду переходят все права финансово-кредитного учреждения по кредитному договору в объеме исполненных обязательств. При этом финансово-кредитное учреждение в 3-дневный срок со дня исполнения гарантийным фондом обязательств по договору гарантии (поручительства) должно передать в гарантийный фонд документы, удостоверяющие права требования к клиенту-должнику.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финансово-кредитному учреждению во исполнение обязательства по договору гарантии (поручительства),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отчетность в гарантийных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обеспечивать учет и хранение документов, используемых в бухгалтерском учете и при составлении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основных документов, подлежащих хранению, и сроки их хранения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Реорганизация и/или ликвидация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 при соблюдении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гарантийного фонда, оставшиеся после удовлетворения всех обязательств, подлежат распределению среди учредителей, пайщиков пропорционально их долям, за исключением гарантийных фондов, созданных в виде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Гарантийные фонды, созданные и действующие до принятия настоящего Закона, обязаны увеличить уставный капитал до размеров, предусмотренных частью 1 статьи 9, в течение 2 лет со дня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uctfuznhydt1h5fi6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dalil.kg/document/203976</w:t>
      </w:r>
    </w:hyperlink>
  </w:p>
  <w:p>
    <w:pPr>
      <w:spacing w:after="0" w:before="40"/>
      <w:jc w:val="center"/>
    </w:pPr>
    <w:hyperlink w:history="1" r:id="rIdlv_h_pqx7cmfpdgcjv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8t7_vexppyoys5cgty1" Type="http://schemas.openxmlformats.org/officeDocument/2006/relationships/hyperlink" Target="https://dalil.kg/document/111890" TargetMode="External"/><Relationship Id="rId2egub0m0rwyrzzvel0_zo" Type="http://schemas.openxmlformats.org/officeDocument/2006/relationships/hyperlink" Target="https://dalil.kg/document/111451" TargetMode="External"/><Relationship Id="rIddzqalo4x0bpnlhryxuv-q" Type="http://schemas.openxmlformats.org/officeDocument/2006/relationships/hyperlink" Target="https://dalil.kg/document/111451" TargetMode="External"/><Relationship Id="rIddzxzk-usrpugxswkxjdcz" Type="http://schemas.openxmlformats.org/officeDocument/2006/relationships/hyperlink" Target="https://dalil.kg/document/111451" TargetMode="External"/><Relationship Id="rId2vc0g-coe18en6-ezpe04" Type="http://schemas.openxmlformats.org/officeDocument/2006/relationships/hyperlink" Target="https://dalil.kg/document/111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uctfuznhydt1h5fi6d0" Type="http://schemas.openxmlformats.org/officeDocument/2006/relationships/hyperlink" Target="https://dalil.kg/document/203976" TargetMode="External"/><Relationship Id="rIdlv_h_pqx7cmfpdgcjv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2026-09-24T15:25:39.112Z</dcterms:created>
  <dcterms:modified xsi:type="dcterms:W3CDTF">2026-09-24T15:25:39.112Z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