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 СИЛУ
 в соответствии с </w:t>
      </w:r>
      <w:hyperlink w:history="1" r:id="rIdjpiu5e6x0jl5mfiscobv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августа 2015 года № 219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26 июля 2014 года № 147</w:t>
      </w:r>
    </w:p>
    <w:p>
      <w:pPr>
        <w:spacing w:after="120"/>
        <w:jc w:val="both"/>
      </w:pPr>
      <w:r>
        <w:rPr>
          <w:rFonts w:ascii="Arial" w:cs="Arial" w:eastAsia="Arial" w:hAnsi="Arial"/>
          <w:sz w:val="24"/>
          <w:szCs w:val="24"/>
        </w:rPr>
        <w:t xml:space="preserve">О внесении дополнений и изменений в Воздушный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Воздушный </w:t>
      </w:r>
      <w:hyperlink w:history="1" r:id="rIdfd_-dmuiau6z7fv3fs5b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1994 г., № 5, ст.159) следующие дополнения и изменения:</w:t>
      </w:r>
    </w:p>
    <w:p>
      <w:pPr>
        <w:spacing w:after="120"/>
        <w:jc w:val="both"/>
      </w:pPr>
      <w:r>
        <w:rPr>
          <w:rFonts w:ascii="Arial" w:cs="Arial" w:eastAsia="Arial" w:hAnsi="Arial"/>
          <w:sz w:val="24"/>
          <w:szCs w:val="24"/>
        </w:rPr>
        <w:t xml:space="preserve">1. </w:t>
      </w:r>
      <w:hyperlink w:history="1" r:id="rIdqeegxi_40vc4vcb6d5gc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преамбулой следующего содержания:</w:t>
      </w:r>
    </w:p>
    <w:p>
      <w:pPr>
        <w:spacing w:after="120"/>
        <w:jc w:val="both"/>
      </w:pPr>
      <w:r>
        <w:rPr>
          <w:rFonts w:ascii="Arial" w:cs="Arial" w:eastAsia="Arial" w:hAnsi="Arial"/>
          <w:sz w:val="24"/>
          <w:szCs w:val="24"/>
        </w:rPr>
        <w:t xml:space="preserve">"Воздушный </w:t>
      </w:r>
      <w:hyperlink w:history="1" r:id="rIdh8dlnkc5j4d13ufr3yde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устанавливает правовые основы использования воздушного пространства и деятельности авиации в целях обеспечения потребностей населения, экономики, обороны и безопасности государства.</w:t>
      </w:r>
    </w:p>
    <w:p>
      <w:pPr>
        <w:spacing w:after="120"/>
        <w:jc w:val="both"/>
      </w:pPr>
      <w:r>
        <w:rPr>
          <w:rFonts w:ascii="Arial" w:cs="Arial" w:eastAsia="Arial" w:hAnsi="Arial"/>
          <w:sz w:val="24"/>
          <w:szCs w:val="24"/>
        </w:rPr>
        <w:t xml:space="preserve">Государственное регулирование использования воздушного пространства Кыргызской Республики и деятельности в области авиации направлено на обеспечение безопасности полетов воздушных судов и воздушного движения, эффективности воздушных перевозок и авиационных работ.".</w:t>
      </w:r>
    </w:p>
    <w:p>
      <w:pPr>
        <w:spacing w:after="120"/>
        <w:jc w:val="both"/>
      </w:pPr>
      <w:r>
        <w:rPr>
          <w:rFonts w:ascii="Arial" w:cs="Arial" w:eastAsia="Arial" w:hAnsi="Arial"/>
          <w:sz w:val="24"/>
          <w:szCs w:val="24"/>
        </w:rPr>
        <w:t xml:space="preserve">2. В части 2 статьи 2:</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"Авиационные правила Кыргызской Республики принимаются Правительством Кыргызской Республики или органом гражданской авиации Кыргызской Республики на официальном языке согласно используемым языкам Международной организации гражданской авиации.</w:t>
      </w:r>
    </w:p>
    <w:p>
      <w:pPr>
        <w:spacing w:after="120"/>
        <w:jc w:val="both"/>
      </w:pPr>
      <w:r>
        <w:rPr>
          <w:rFonts w:ascii="Arial" w:cs="Arial" w:eastAsia="Arial" w:hAnsi="Arial"/>
          <w:sz w:val="24"/>
          <w:szCs w:val="24"/>
        </w:rPr>
        <w:t xml:space="preserve">Принятие Авиационных правил Кыргызской Республики осуществляется для обеспечения их максимального единообразия со Стандартами и рекомендуемой практикой Международной организации гражданской авиации, принимаемыми в соответствии со статьей 37 Конвенции о международной гражданской авиации.</w:t>
      </w:r>
    </w:p>
    <w:p>
      <w:pPr>
        <w:spacing w:after="120"/>
        <w:jc w:val="both"/>
      </w:pPr>
      <w:r>
        <w:rPr>
          <w:rFonts w:ascii="Arial" w:cs="Arial" w:eastAsia="Arial" w:hAnsi="Arial"/>
          <w:sz w:val="24"/>
          <w:szCs w:val="24"/>
        </w:rPr>
        <w:t xml:space="preserve">Авиационные правила Кыргызской Республики включают правила, регулирующие следующие области деятельности авиации:";</w:t>
      </w:r>
    </w:p>
    <w:p>
      <w:pPr>
        <w:spacing w:after="120"/>
        <w:jc w:val="both"/>
      </w:pPr>
      <w:r>
        <w:rPr>
          <w:rFonts w:ascii="Arial" w:cs="Arial" w:eastAsia="Arial" w:hAnsi="Arial"/>
          <w:sz w:val="24"/>
          <w:szCs w:val="24"/>
        </w:rPr>
        <w:t xml:space="preserve">подпункт (к) изложить в следующей редакции:</w:t>
      </w:r>
    </w:p>
    <w:p>
      <w:pPr>
        <w:spacing w:after="120"/>
        <w:jc w:val="both"/>
      </w:pPr>
      <w:r>
        <w:rPr>
          <w:rFonts w:ascii="Arial" w:cs="Arial" w:eastAsia="Arial" w:hAnsi="Arial"/>
          <w:sz w:val="24"/>
          <w:szCs w:val="24"/>
        </w:rPr>
        <w:t xml:space="preserve">"(к) авиационная электросвязь;".</w:t>
      </w:r>
    </w:p>
    <w:p>
      <w:pPr>
        <w:spacing w:after="120"/>
        <w:jc w:val="both"/>
      </w:pPr>
      <w:r>
        <w:rPr>
          <w:rFonts w:ascii="Arial" w:cs="Arial" w:eastAsia="Arial" w:hAnsi="Arial"/>
          <w:sz w:val="24"/>
          <w:szCs w:val="24"/>
        </w:rPr>
        <w:t xml:space="preserve">3. Статью 8 дополнить частями 3 и 4 следующего содержания:</w:t>
      </w:r>
    </w:p>
    <w:p>
      <w:pPr>
        <w:spacing w:after="120"/>
        <w:jc w:val="both"/>
      </w:pPr>
      <w:r>
        <w:rPr>
          <w:rFonts w:ascii="Arial" w:cs="Arial" w:eastAsia="Arial" w:hAnsi="Arial"/>
          <w:sz w:val="24"/>
          <w:szCs w:val="24"/>
        </w:rPr>
        <w:t xml:space="preserve">"Орган гражданской авиации может предоставить в письменной форме освобождения от требований в соответствии с конкретными положениями Авиационных правил Кыргызской Республики, принимая во внимание все аспекты, связанные с безопасностью. Выдача соответствующих освобождений оговаривается в Авиационных правилах Кыргызской Республики.</w:t>
      </w:r>
    </w:p>
    <w:p>
      <w:pPr>
        <w:spacing w:after="120"/>
        <w:jc w:val="both"/>
      </w:pPr>
      <w:r>
        <w:rPr>
          <w:rFonts w:ascii="Arial" w:cs="Arial" w:eastAsia="Arial" w:hAnsi="Arial"/>
          <w:sz w:val="24"/>
          <w:szCs w:val="24"/>
        </w:rPr>
        <w:t xml:space="preserve">В случае несоответствия какому-либо требованию, оговариваемому в Авиационных правилах Кыргызской Республики, орган гражданской авиации после проведения авиационных исследований может установить условия и процедуры, необходимые для обеспечения уровня безопасности, эквивалентного тому, который установлен исходя из соблюдения соответствующих требований, закрепленных в Авиационных правилах Кыргызской Республики.".</w:t>
      </w:r>
    </w:p>
    <w:p>
      <w:pPr>
        <w:spacing w:after="120"/>
        <w:jc w:val="both"/>
      </w:pPr>
      <w:r>
        <w:rPr>
          <w:rFonts w:ascii="Arial" w:cs="Arial" w:eastAsia="Arial" w:hAnsi="Arial"/>
          <w:sz w:val="24"/>
          <w:szCs w:val="24"/>
        </w:rPr>
        <w:t xml:space="preserve">4. Часть 6 статьи 9 изложить в следующей редакции:</w:t>
      </w:r>
    </w:p>
    <w:p>
      <w:pPr>
        <w:spacing w:after="120"/>
        <w:jc w:val="both"/>
      </w:pPr>
      <w:r>
        <w:rPr>
          <w:rFonts w:ascii="Arial" w:cs="Arial" w:eastAsia="Arial" w:hAnsi="Arial"/>
          <w:sz w:val="24"/>
          <w:szCs w:val="24"/>
        </w:rPr>
        <w:t xml:space="preserve">"Инспектора органа гражданской авиации обеспечиваются специальным удостоверением и имеют полный и неограниченный доступ к воздушным судам, помещениям аэропортов, аэродромам, авиационным объектам по обеспечению аэронавигационного обслуживания, ангарам, утвержденным организациям по техническому обслуживанию, мастерским, перронам, топливохранилищам, топливозаправочным комплексам (организациям), служебным помещениям эксплуатанта, зонам обработки грузов, авиационным учебным заведениям и ко всем средствам и оборудованиям гражданской авиации в государстве в целях выполнения инспекторских функций и обязанностей.".</w:t>
      </w:r>
    </w:p>
    <w:p>
      <w:pPr>
        <w:spacing w:after="120"/>
        <w:jc w:val="both"/>
      </w:pPr>
      <w:r>
        <w:rPr>
          <w:rFonts w:ascii="Arial" w:cs="Arial" w:eastAsia="Arial" w:hAnsi="Arial"/>
          <w:sz w:val="24"/>
          <w:szCs w:val="24"/>
        </w:rPr>
        <w:t xml:space="preserve">5. В части 2 статьи 28-1 слова "менее 3100 килограммов" заменить словами "менее 3175 килограммов".</w:t>
      </w:r>
    </w:p>
    <w:p>
      <w:pPr>
        <w:spacing w:after="120"/>
        <w:jc w:val="both"/>
      </w:pPr>
      <w:r>
        <w:rPr>
          <w:rFonts w:ascii="Arial" w:cs="Arial" w:eastAsia="Arial" w:hAnsi="Arial"/>
          <w:sz w:val="24"/>
          <w:szCs w:val="24"/>
        </w:rPr>
        <w:t xml:space="preserve">6. </w:t>
      </w:r>
      <w:hyperlink w:history="1" r:id="rIdxoo3n57dbultihqbudto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статьей 54-1 следующего содержания:</w:t>
      </w:r>
    </w:p>
    <w:p>
      <w:pPr>
        <w:spacing w:after="120"/>
        <w:jc w:val="both"/>
      </w:pPr>
      <w:r>
        <w:rPr>
          <w:rFonts w:ascii="Arial" w:cs="Arial" w:eastAsia="Arial" w:hAnsi="Arial"/>
          <w:sz w:val="24"/>
          <w:szCs w:val="24"/>
        </w:rPr>
        <w:t xml:space="preserve">"Статья 54-1. Опубликование требований в области аэродромов</w:t>
      </w:r>
    </w:p>
    <w:p>
      <w:pPr>
        <w:spacing w:after="120"/>
        <w:jc w:val="both"/>
      </w:pPr>
      <w:r>
        <w:rPr>
          <w:rFonts w:ascii="Arial" w:cs="Arial" w:eastAsia="Arial" w:hAnsi="Arial"/>
          <w:sz w:val="24"/>
          <w:szCs w:val="24"/>
        </w:rPr>
        <w:t xml:space="preserve">Орган гражданской авиации опубликовывает требования, касающиеся разработки и внедрения программ технического обслуживания на всех аэродромах Кыргызской Республики, включая меры предосторожности, касающиеся покрытия взлетно-посадочных полос, рулежных дорожек, перрона, боковых полос рулежной дорожки, летной полосы, визуальных средств, электрических систем, ломкости и орнитологического обеспечения полетов в виде отдельной директивы органа гражданской авиации.".</w:t>
      </w:r>
    </w:p>
    <w:p>
      <w:pPr>
        <w:spacing w:after="120"/>
        <w:jc w:val="both"/>
      </w:pPr>
      <w:r>
        <w:rPr>
          <w:rFonts w:ascii="Arial" w:cs="Arial" w:eastAsia="Arial" w:hAnsi="Arial"/>
          <w:sz w:val="24"/>
          <w:szCs w:val="24"/>
        </w:rPr>
        <w:t xml:space="preserve">7. В статье 60 слова "Нормами годности аэродрома к эксплуатации" заменить словами "Авиационными правилами Кыргызской Республики".</w:t>
      </w:r>
    </w:p>
    <w:p>
      <w:pPr>
        <w:spacing w:after="120"/>
        <w:jc w:val="both"/>
      </w:pPr>
      <w:r>
        <w:rPr>
          <w:rFonts w:ascii="Arial" w:cs="Arial" w:eastAsia="Arial" w:hAnsi="Arial"/>
          <w:sz w:val="24"/>
          <w:szCs w:val="24"/>
        </w:rPr>
        <w:t xml:space="preserve">8. </w:t>
      </w:r>
      <w:hyperlink w:history="1" r:id="rIdjotvbzmzblxv2gdwfoop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статьей 106-1 следующего содержания:</w:t>
      </w:r>
    </w:p>
    <w:p>
      <w:pPr>
        <w:spacing w:after="120"/>
        <w:jc w:val="both"/>
      </w:pPr>
      <w:r>
        <w:rPr>
          <w:rFonts w:ascii="Arial" w:cs="Arial" w:eastAsia="Arial" w:hAnsi="Arial"/>
          <w:sz w:val="24"/>
          <w:szCs w:val="24"/>
        </w:rPr>
        <w:t xml:space="preserve">"Статья 106-1. Добровольное донесение</w:t>
      </w:r>
    </w:p>
    <w:p>
      <w:pPr>
        <w:spacing w:after="120"/>
        <w:jc w:val="both"/>
      </w:pPr>
      <w:r>
        <w:rPr>
          <w:rFonts w:ascii="Arial" w:cs="Arial" w:eastAsia="Arial" w:hAnsi="Arial"/>
          <w:sz w:val="24"/>
          <w:szCs w:val="24"/>
        </w:rPr>
        <w:t xml:space="preserve">Добровольные донесения авиационных происшествий и инцидентов не используются для принятия каких-либо дисциплинарных мер в отношении источника информации.".</w:t>
      </w:r>
    </w:p>
    <w:p>
      <w:pPr>
        <w:spacing w:after="120"/>
        <w:jc w:val="both"/>
      </w:pPr>
      <w:r>
        <w:rPr>
          <w:rFonts w:ascii="Arial" w:cs="Arial" w:eastAsia="Arial" w:hAnsi="Arial"/>
          <w:sz w:val="24"/>
          <w:szCs w:val="24"/>
        </w:rPr>
        <w:t xml:space="preserve">9. </w:t>
      </w:r>
      <w:hyperlink w:history="1" r:id="rIdplmb0uruwbakhkllbhcm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статьей 108-1 следующего содержания:</w:t>
      </w:r>
    </w:p>
    <w:p>
      <w:pPr>
        <w:spacing w:after="120"/>
        <w:jc w:val="both"/>
      </w:pPr>
      <w:r>
        <w:rPr>
          <w:rFonts w:ascii="Arial" w:cs="Arial" w:eastAsia="Arial" w:hAnsi="Arial"/>
          <w:sz w:val="24"/>
          <w:szCs w:val="24"/>
        </w:rPr>
        <w:t xml:space="preserve">"Статья 108-1. Координация деятельности</w:t>
      </w:r>
    </w:p>
    <w:p>
      <w:pPr>
        <w:spacing w:after="120"/>
        <w:jc w:val="both"/>
      </w:pPr>
      <w:r>
        <w:rPr>
          <w:rFonts w:ascii="Arial" w:cs="Arial" w:eastAsia="Arial" w:hAnsi="Arial"/>
          <w:sz w:val="24"/>
          <w:szCs w:val="24"/>
        </w:rPr>
        <w:t xml:space="preserve">Для облегчения координации деятельности между назначенными следователями и судебными органами в процессе расследования на месте авиационного происшествия или инцидента создается комиссия, состоящая из представителей Генеральной прокуратуры, Государственного комитета национальной безопасности, Министерства внутренних дел, 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Назначенные следователи наделяются всеми полномочиями для проведения следствия.</w:t>
      </w:r>
    </w:p>
    <w:p>
      <w:pPr>
        <w:spacing w:after="120"/>
        <w:jc w:val="both"/>
      </w:pPr>
      <w:r>
        <w:rPr>
          <w:rFonts w:ascii="Arial" w:cs="Arial" w:eastAsia="Arial" w:hAnsi="Arial"/>
          <w:sz w:val="24"/>
          <w:szCs w:val="24"/>
        </w:rPr>
        <w:t xml:space="preserve">Информация, полученная при расшифровке звукозаписывающего устройства, установленного в кабине экипажа, не подлежит разглашению до решения Комиссии по расследованию и судебных органов.".</w:t>
      </w:r>
    </w:p>
    <w:p>
      <w:pPr>
        <w:spacing w:after="120"/>
        <w:jc w:val="both"/>
      </w:pPr>
      <w:r>
        <w:rPr>
          <w:rFonts w:ascii="Arial" w:cs="Arial" w:eastAsia="Arial" w:hAnsi="Arial"/>
          <w:sz w:val="24"/>
          <w:szCs w:val="24"/>
        </w:rPr>
        <w:t xml:space="preserve">10. Статью 123 дополнить частью 5 следующего содержания:</w:t>
      </w:r>
    </w:p>
    <w:p>
      <w:pPr>
        <w:spacing w:after="120"/>
        <w:jc w:val="both"/>
      </w:pPr>
      <w:r>
        <w:rPr>
          <w:rFonts w:ascii="Arial" w:cs="Arial" w:eastAsia="Arial" w:hAnsi="Arial"/>
          <w:sz w:val="24"/>
          <w:szCs w:val="24"/>
        </w:rPr>
        <w:t xml:space="preserve">"Признается действенность свидетельств, сертификатов и удостоверений (сертификатов) о годности к полетам, а также разрешений на использование радиооборудования и свидетельств членов экипажа, выданных или подтвержденных иностранным государством эксплуатанта в рамках соглашения, заключенного в соответствии со статьей 83 bis Конвенции о Международной гражданской авиации с другим государством.".</w:t>
      </w:r>
    </w:p>
    <w:p>
      <w:pPr>
        <w:spacing w:after="120"/>
        <w:jc w:val="both"/>
      </w:pPr>
      <w:r>
        <w:rPr>
          <w:rFonts w:ascii="Arial" w:cs="Arial" w:eastAsia="Arial" w:hAnsi="Arial"/>
          <w:sz w:val="24"/>
          <w:szCs w:val="24"/>
        </w:rPr>
        <w:t xml:space="preserve">11. Статью 124 изложить в следующей редакции:</w:t>
      </w:r>
    </w:p>
    <w:p>
      <w:pPr>
        <w:spacing w:after="120"/>
        <w:jc w:val="both"/>
      </w:pPr>
      <w:r>
        <w:rPr>
          <w:rFonts w:ascii="Arial" w:cs="Arial" w:eastAsia="Arial" w:hAnsi="Arial"/>
          <w:sz w:val="24"/>
          <w:szCs w:val="24"/>
        </w:rPr>
        <w:t xml:space="preserve">"Статья 124. Требования к выдаче сертификата эксплуатанта</w:t>
      </w:r>
    </w:p>
    <w:p>
      <w:pPr>
        <w:spacing w:after="120"/>
        <w:jc w:val="both"/>
      </w:pPr>
      <w:r>
        <w:rPr>
          <w:rFonts w:ascii="Arial" w:cs="Arial" w:eastAsia="Arial" w:hAnsi="Arial"/>
          <w:sz w:val="24"/>
          <w:szCs w:val="24"/>
        </w:rPr>
        <w:t xml:space="preserve">Требования к выдаче сертификата эксплуатанта и связанных с ним эксплуатационных спецификаций оговариваются в Авиационных правилах Кыргызской Республики, регулирующих эксплуатацию воздушных судов.</w:t>
      </w:r>
    </w:p>
    <w:p>
      <w:pPr>
        <w:spacing w:after="120"/>
        <w:jc w:val="both"/>
      </w:pPr>
      <w:r>
        <w:rPr>
          <w:rFonts w:ascii="Arial" w:cs="Arial" w:eastAsia="Arial" w:hAnsi="Arial"/>
          <w:sz w:val="24"/>
          <w:szCs w:val="24"/>
        </w:rPr>
        <w:t xml:space="preserve">Сертификат эксплуатанта и связанные с ним эксплуатационные спецификации выдаются при условии, если у эксплуатанта имеется в собственности одно годное к полетам воздушное судно, подтвержденное сертификатом летной годности согласно заявленному эксплуатантом виду воздушных перевозок в соответствии с руководством по производству полетов и при наличии у эксплуатанта организационной структуры, соответствующего эксплуатационного и управляющего персонала для производства полетов, производственных и административных помещений, технических средств, оборудования, программ подготовки, а также системы наземного и технического обслуживания, соответствующей установленному характеру и объему полетов и других возможностей, необходимых для эксплуатации данного воздушного судна. Собственность воздушного судна подтверждается договором или соглашением о купле-продаже воздушного судна.</w:t>
      </w:r>
    </w:p>
    <w:p>
      <w:pPr>
        <w:spacing w:after="120"/>
        <w:jc w:val="both"/>
      </w:pPr>
      <w:r>
        <w:rPr>
          <w:rFonts w:ascii="Arial" w:cs="Arial" w:eastAsia="Arial" w:hAnsi="Arial"/>
          <w:sz w:val="24"/>
          <w:szCs w:val="24"/>
        </w:rPr>
        <w:t xml:space="preserve">В отношении остальных воздушных судов достаточно наличие права пользования и владения у эксплуатанта, подтвержденного договором аренды с последующим выкупом либо договором финансовой аренды (лизинга).".</w:t>
      </w:r>
    </w:p>
    <w:p>
      <w:pPr>
        <w:spacing w:after="120"/>
        <w:jc w:val="both"/>
      </w:pPr>
      <w:r>
        <w:rPr>
          <w:rFonts w:ascii="Arial" w:cs="Arial" w:eastAsia="Arial" w:hAnsi="Arial"/>
          <w:sz w:val="24"/>
          <w:szCs w:val="24"/>
        </w:rPr>
        <w:t xml:space="preserve">12. </w:t>
      </w:r>
      <w:hyperlink w:history="1" r:id="rIdrt2kcbfpnlhhlyvlve9d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статьей 176-1 следующего содержания:</w:t>
      </w:r>
    </w:p>
    <w:p>
      <w:pPr>
        <w:spacing w:after="120"/>
        <w:jc w:val="both"/>
      </w:pPr>
      <w:r>
        <w:rPr>
          <w:rFonts w:ascii="Arial" w:cs="Arial" w:eastAsia="Arial" w:hAnsi="Arial"/>
          <w:sz w:val="24"/>
          <w:szCs w:val="24"/>
        </w:rPr>
        <w:t xml:space="preserve">"Статья 176-1. Ответственность за нарушение воздушного законодательства</w:t>
      </w:r>
    </w:p>
    <w:p>
      <w:pPr>
        <w:spacing w:after="120"/>
        <w:jc w:val="both"/>
      </w:pPr>
      <w:r>
        <w:rPr>
          <w:rFonts w:ascii="Arial" w:cs="Arial" w:eastAsia="Arial" w:hAnsi="Arial"/>
          <w:sz w:val="24"/>
          <w:szCs w:val="24"/>
        </w:rPr>
        <w:t xml:space="preserve">Лица, виновные в нарушении воздушного законодательства Кыргызской Республики,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piu5e6x0jl5mfiscobvv" Type="http://schemas.openxmlformats.org/officeDocument/2006/relationships/hyperlink" Target="http://kodeks.duckdns.org/document/111263" TargetMode="External"/><Relationship Id="rIdfd_-dmuiau6z7fv3fs5bh" Type="http://schemas.openxmlformats.org/officeDocument/2006/relationships/hyperlink" Target="http://kodeks.duckdns.org/document/682" TargetMode="External"/><Relationship Id="rIdqeegxi_40vc4vcb6d5gcp" Type="http://schemas.openxmlformats.org/officeDocument/2006/relationships/hyperlink" Target="http://kodeks.duckdns.org/document/682" TargetMode="External"/><Relationship Id="rIdh8dlnkc5j4d13ufr3ydeh" Type="http://schemas.openxmlformats.org/officeDocument/2006/relationships/hyperlink" Target="http://kodeks.duckdns.org/document/682" TargetMode="External"/><Relationship Id="rIdxoo3n57dbultihqbudtoz" Type="http://schemas.openxmlformats.org/officeDocument/2006/relationships/hyperlink" Target="http://kodeks.duckdns.org/document/682" TargetMode="External"/><Relationship Id="rIdjotvbzmzblxv2gdwfoop4" Type="http://schemas.openxmlformats.org/officeDocument/2006/relationships/hyperlink" Target="http://kodeks.duckdns.org/document/682" TargetMode="External"/><Relationship Id="rIdplmb0uruwbakhkllbhcmc" Type="http://schemas.openxmlformats.org/officeDocument/2006/relationships/hyperlink" Target="http://kodeks.duckdns.org/document/682" TargetMode="External"/><Relationship Id="rIdrt2kcbfpnlhhlyvlve9dk" Type="http://schemas.openxmlformats.org/officeDocument/2006/relationships/hyperlink" Target="http://kodeks.duckdns.org/document/682"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2026-09-23T00:57:29.967Z</dcterms:created>
  <dcterms:modified xsi:type="dcterms:W3CDTF">2026-09-23T00:57:29.967Z</dcterms:modified>
</cp:coreProperties>
</file>

<file path=docProps/custom.xml><?xml version="1.0" encoding="utf-8"?>
<Properties xmlns="http://schemas.openxmlformats.org/officeDocument/2006/custom-properties" xmlns:vt="http://schemas.openxmlformats.org/officeDocument/2006/docPropsVTypes"/>
</file>