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y2hgnsfwi7sfigsjm57d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апреля 2010 года № 107-р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МЕТОДОЛОГИЧЕСКИЕ УКАЗАНИЯ
 по проведению учета скота и домашней птицы
 в хозяйствах всех категорий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проведения учета скота и домашней птицы в хозяйствах юридических лиц</w:t>
      </w:r>
    </w:p>
    <w:p>
      <w:pPr>
        <w:spacing w:after="120"/>
        <w:jc w:val="both"/>
      </w:pPr>
      <w:r>
        <w:rPr>
          <w:rFonts w:ascii="Arial" w:cs="Arial" w:eastAsia="Arial" w:hAnsi="Arial"/>
          <w:sz w:val="24"/>
          <w:szCs w:val="24"/>
        </w:rPr>
        <w:t xml:space="preserve">3. Порядок проведения учета скота и домашней птицы в личных подсобных хозяйствах граждан, в крестьянских (фермерских) хозяйствах и хозяйствах индивидуальных предпринимателей, осуществляющих сельскохозяйственную деятельность в сельской местности</w:t>
      </w:r>
    </w:p>
    <w:p>
      <w:pPr>
        <w:spacing w:after="120"/>
        <w:jc w:val="both"/>
      </w:pPr>
      <w:r>
        <w:rPr>
          <w:rFonts w:ascii="Arial" w:cs="Arial" w:eastAsia="Arial" w:hAnsi="Arial"/>
          <w:sz w:val="24"/>
          <w:szCs w:val="24"/>
        </w:rPr>
        <w:t xml:space="preserve">4. Порядок проведения учета скота и домашней птицы в личных подсобных хозяйствах граждан, крестьянских (фермерских) хозяйствах и хозяйствах индивидуальных предпринимателей, осуществляющих сельскохозяйственную деятельность, проживающих в городах и поселках городского типа</w:t>
      </w:r>
    </w:p>
    <w:p>
      <w:pPr>
        <w:spacing w:after="120"/>
        <w:jc w:val="both"/>
      </w:pPr>
      <w:r>
        <w:rPr>
          <w:rFonts w:ascii="Arial" w:cs="Arial" w:eastAsia="Arial" w:hAnsi="Arial"/>
          <w:sz w:val="24"/>
          <w:szCs w:val="24"/>
        </w:rPr>
        <w:t xml:space="preserve">5. Порядок проведения учета скота и домашней птицы на охраняемых объектах и закрытых территориях</w:t>
      </w:r>
    </w:p>
    <w:p>
      <w:pPr>
        <w:spacing w:after="120"/>
        <w:jc w:val="both"/>
      </w:pPr>
      <w:r>
        <w:rPr>
          <w:rFonts w:ascii="Arial" w:cs="Arial" w:eastAsia="Arial" w:hAnsi="Arial"/>
          <w:sz w:val="24"/>
          <w:szCs w:val="24"/>
        </w:rPr>
        <w:t xml:space="preserve">6. Разработка и проверка материалов учета скота и домашней птицы областными и городскими управлениями, районными и городскими отделами государственной статистики</w:t>
      </w:r>
    </w:p>
    <w:p>
      <w:pPr>
        <w:spacing w:after="120"/>
        <w:jc w:val="both"/>
      </w:pPr>
      <w:r>
        <w:rPr>
          <w:rFonts w:ascii="Arial" w:cs="Arial" w:eastAsia="Arial" w:hAnsi="Arial"/>
          <w:sz w:val="24"/>
          <w:szCs w:val="24"/>
        </w:rPr>
        <w:t xml:space="preserve">7. Указания по заполнению формы № 3 (учет скота) "Подворный список по учету скота и домашней птицы в сельской местности" и формы № 4 (учет скота) "Список по учету скота и домашней птицы в городской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скота и домашней птицы - один из основных источников информации, необходимый для анализа и изучения развития животноводства в Кыргызской Республике, а также определения объемов производства: мяса по видам скота и птицы, молока сырого коровьего, козьего и кобыльего, яиц куриных и других видов домашней птицы, шерсти овечьей, козьей, козьего пуха и прочих продуктов животноводства.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и задачей проведения учета скота и домашней птицы является получение достоверных и объективных данных о наличии, составе и структурных изменениях поголовья скота и домашней птицы в хозяйствах всех категорий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Законодательная и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hyperlink w:history="1" r:id="rIdx0bsovto8jiy4v-gynii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статистике" от 26 марта 2007 года № 40;</w:t>
      </w:r>
    </w:p>
    <w:p>
      <w:pPr>
        <w:spacing w:after="120"/>
        <w:jc w:val="both"/>
      </w:pPr>
      <w:r>
        <w:rPr>
          <w:rFonts w:ascii="Arial" w:cs="Arial" w:eastAsia="Arial" w:hAnsi="Arial"/>
          <w:sz w:val="24"/>
          <w:szCs w:val="24"/>
        </w:rPr>
        <w:t xml:space="preserve">- </w:t>
      </w:r>
      <w:hyperlink w:history="1" r:id="rIdl4pb-bftm6l5kz_gcdg5i">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статистических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Системы классификации и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Государственный классификатор Кыргызской Республики "Виды экономической деятельности" (ГКЭД);</w:t>
      </w:r>
    </w:p>
    <w:p>
      <w:pPr>
        <w:spacing w:after="120"/>
        <w:jc w:val="both"/>
      </w:pPr>
      <w:r>
        <w:rPr>
          <w:rFonts w:ascii="Arial" w:cs="Arial" w:eastAsia="Arial" w:hAnsi="Arial"/>
          <w:sz w:val="24"/>
          <w:szCs w:val="24"/>
        </w:rPr>
        <w:t xml:space="preserve">- Государственный классификатор система обозначений объектов административно-территориальных и территориальных единиц Кыргызской Республики (СОАТЕ);</w:t>
      </w:r>
    </w:p>
    <w:p>
      <w:pPr>
        <w:spacing w:after="120"/>
        <w:jc w:val="both"/>
      </w:pPr>
      <w:r>
        <w:rPr>
          <w:rFonts w:ascii="Arial" w:cs="Arial" w:eastAsia="Arial" w:hAnsi="Arial"/>
          <w:sz w:val="24"/>
          <w:szCs w:val="24"/>
        </w:rPr>
        <w:t xml:space="preserve">- Государственный статистический классификатор продукции (товаров и услуг) (ГСКП).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Объекты статистического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Поголовье скота и птицы - система показателей, характеризующих по ряду признаков (хозяйственному использованию, виду, возрасту, полу, производственно-экономическому назначению) численность скота и домашней птицы, учитывается в физических единицах (головах).</w:t>
      </w:r>
    </w:p>
    <w:p>
      <w:pPr>
        <w:spacing w:after="120"/>
        <w:jc w:val="both"/>
      </w:pPr>
      <w:r>
        <w:rPr>
          <w:rFonts w:ascii="Arial" w:cs="Arial" w:eastAsia="Arial" w:hAnsi="Arial"/>
          <w:sz w:val="24"/>
          <w:szCs w:val="24"/>
        </w:rPr>
        <w:t xml:space="preserve">1.4.2. Учету подлежат:</w:t>
      </w:r>
    </w:p>
    <w:p>
      <w:pPr>
        <w:spacing w:after="120"/>
        <w:jc w:val="both"/>
      </w:pPr>
      <w:r>
        <w:rPr>
          <w:rFonts w:ascii="Arial" w:cs="Arial" w:eastAsia="Arial" w:hAnsi="Arial"/>
          <w:sz w:val="24"/>
          <w:szCs w:val="24"/>
        </w:rPr>
        <w:t xml:space="preserve">- крупный рогатый скот (включая яков) по половозрастным группам;</w:t>
      </w:r>
    </w:p>
    <w:p>
      <w:pPr>
        <w:spacing w:after="120"/>
        <w:jc w:val="both"/>
      </w:pPr>
      <w:r>
        <w:rPr>
          <w:rFonts w:ascii="Arial" w:cs="Arial" w:eastAsia="Arial" w:hAnsi="Arial"/>
          <w:sz w:val="24"/>
          <w:szCs w:val="24"/>
        </w:rPr>
        <w:t xml:space="preserve">- овцы, козы, свиньи, лошади, верблюды, кролики, с выделением маточного поголовья;</w:t>
      </w:r>
    </w:p>
    <w:p>
      <w:pPr>
        <w:spacing w:after="120"/>
        <w:jc w:val="both"/>
      </w:pPr>
      <w:r>
        <w:rPr>
          <w:rFonts w:ascii="Arial" w:cs="Arial" w:eastAsia="Arial" w:hAnsi="Arial"/>
          <w:sz w:val="24"/>
          <w:szCs w:val="24"/>
        </w:rPr>
        <w:t xml:space="preserve">- домашняя птица по видам;</w:t>
      </w:r>
    </w:p>
    <w:p>
      <w:pPr>
        <w:spacing w:after="120"/>
        <w:jc w:val="both"/>
      </w:pPr>
      <w:r>
        <w:rPr>
          <w:rFonts w:ascii="Arial" w:cs="Arial" w:eastAsia="Arial" w:hAnsi="Arial"/>
          <w:sz w:val="24"/>
          <w:szCs w:val="24"/>
        </w:rPr>
        <w:t xml:space="preserve">- ослы, пушные звери и пчелосемьи.</w:t>
      </w:r>
    </w:p>
    <w:p>
      <w:pPr>
        <w:spacing w:after="120"/>
        <w:jc w:val="both"/>
      </w:pPr>
      <w:r>
        <w:rPr>
          <w:rFonts w:ascii="Arial" w:cs="Arial" w:eastAsia="Arial" w:hAnsi="Arial"/>
          <w:sz w:val="24"/>
          <w:szCs w:val="24"/>
        </w:rPr>
        <w:t xml:space="preserve">Кроме того, учету подлежат домашние собаки и кошки, содержащиеся в домохозяйстве.</w:t>
      </w:r>
    </w:p>
    <w:p>
      <w:pPr>
        <w:spacing w:after="120"/>
        <w:jc w:val="both"/>
      </w:pPr>
      <w:r>
        <w:rPr>
          <w:rFonts w:ascii="Arial" w:cs="Arial" w:eastAsia="Arial" w:hAnsi="Arial"/>
          <w:sz w:val="24"/>
          <w:szCs w:val="24"/>
        </w:rPr>
        <w:t xml:space="preserve">1.4.3. Учету подлежит скот и домашняя птица во всех без исключения хозяйствах юридических лиц, предприятиях и организациях лесного хозяйства, подсобных хозяйствах учебных заведений, детских лагерей, санаториев, домов отдыха, религиозных организаций, школ-интернатов, домов инвалидов, детских домов и домов престарелых, органов правопорядка и обороны, крестьянских (фермерских) хозяйствах и хозяйствах индивидуальных предпринимателей, личных подсобных хозяйствах граждан. Также учету подлежит скот и домашняя птица, содержащиеся в отдельно стоящих строениях (зимовках, кошар, железнодорожных и автомобильных разъездов), домиках егерей, охранных служб дачных участков, водных и других охраняемых объектов.</w:t>
      </w:r>
    </w:p>
    <w:p>
      <w:pPr>
        <w:spacing w:after="120"/>
        <w:jc w:val="both"/>
      </w:pPr>
      <w:r>
        <w:rPr>
          <w:rFonts w:ascii="Arial" w:cs="Arial" w:eastAsia="Arial" w:hAnsi="Arial"/>
          <w:sz w:val="24"/>
          <w:szCs w:val="24"/>
        </w:rPr>
        <w:t xml:space="preserve">1.4.4. При проведении учета скота и домашней птицы органы государственной статистики определяют наличие скота и домашней птицы:</w:t>
      </w:r>
    </w:p>
    <w:p>
      <w:pPr>
        <w:spacing w:after="120"/>
        <w:jc w:val="both"/>
      </w:pPr>
      <w:r>
        <w:rPr>
          <w:rFonts w:ascii="Arial" w:cs="Arial" w:eastAsia="Arial" w:hAnsi="Arial"/>
          <w:sz w:val="24"/>
          <w:szCs w:val="24"/>
        </w:rPr>
        <w:t xml:space="preserve">а) в хозяйствах юридических лиц, подсобных хозяйствах предприятий и организаций - по данным формы № 24 "Отчет о состоянии животноводства";</w:t>
      </w:r>
    </w:p>
    <w:p>
      <w:pPr>
        <w:spacing w:after="120"/>
        <w:jc w:val="both"/>
      </w:pPr>
      <w:r>
        <w:rPr>
          <w:rFonts w:ascii="Arial" w:cs="Arial" w:eastAsia="Arial" w:hAnsi="Arial"/>
          <w:sz w:val="24"/>
          <w:szCs w:val="24"/>
        </w:rPr>
        <w:t xml:space="preserve">б) в личных подсобных хозяйствах граждан в сельской местности, в крестьянских (фермерских) хозяйствах и хозяйствах индивидуальных предпринимателей, осуществляющих сельскохозяйственную деятельность, проживающих в сельской местности, по данным отчетов айыл окмоту - формы № 6, 9-с;</w:t>
      </w:r>
    </w:p>
    <w:p>
      <w:pPr>
        <w:spacing w:after="120"/>
        <w:jc w:val="both"/>
      </w:pPr>
      <w:r>
        <w:rPr>
          <w:rFonts w:ascii="Arial" w:cs="Arial" w:eastAsia="Arial" w:hAnsi="Arial"/>
          <w:sz w:val="24"/>
          <w:szCs w:val="24"/>
        </w:rPr>
        <w:t xml:space="preserve">в) на дачных участках, в домах отдыха, пансионатах, кошарах, чабанских домиках и других отдельно стоящих строениях - на основании сплошного учета по форме № 3;</w:t>
      </w:r>
    </w:p>
    <w:p>
      <w:pPr>
        <w:spacing w:after="120"/>
        <w:jc w:val="both"/>
      </w:pPr>
      <w:r>
        <w:rPr>
          <w:rFonts w:ascii="Arial" w:cs="Arial" w:eastAsia="Arial" w:hAnsi="Arial"/>
          <w:sz w:val="24"/>
          <w:szCs w:val="24"/>
        </w:rPr>
        <w:t xml:space="preserve">г) в личных подсобных хозяйствах граждан, в крестьянских (фермерских) хозяйствах и в хозяйствах индивидуальных предпринимателей, осуществляющих сельскохозяйственную деятельность, проживающих в городах и городских поселениях, по данным отчетов квартальных комитетов и органов местного территориального управления - форма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проведения учета скота и домашней птицы в хозяйствах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хозяйствах юридических лиц подготовка к учету скота и домашней птицы начинается в декабре.</w:t>
      </w:r>
    </w:p>
    <w:p>
      <w:pPr>
        <w:spacing w:after="120"/>
        <w:jc w:val="both"/>
      </w:pPr>
      <w:r>
        <w:rPr>
          <w:rFonts w:ascii="Arial" w:cs="Arial" w:eastAsia="Arial" w:hAnsi="Arial"/>
          <w:sz w:val="24"/>
          <w:szCs w:val="24"/>
        </w:rPr>
        <w:t xml:space="preserve">2.2. Скот, принадлежащий хозяйству юридических лиц, независимо от того, находится ли он в общественных скотных дворах, временно размещен в других хозяйствах, на выращивании в хозяйствах населения или находится на зимовке, в отгоне на пастбище, используется в качестве рабочей силы и т.д. показывается в отчете по форме № 24 "Отчет о состоянии животноводства".</w:t>
      </w:r>
    </w:p>
    <w:p>
      <w:pPr>
        <w:spacing w:after="120"/>
        <w:jc w:val="both"/>
      </w:pPr>
      <w:r>
        <w:rPr>
          <w:rFonts w:ascii="Arial" w:cs="Arial" w:eastAsia="Arial" w:hAnsi="Arial"/>
          <w:sz w:val="24"/>
          <w:szCs w:val="24"/>
        </w:rPr>
        <w:t xml:space="preserve">2.3. Отчет по форме № 24 по состоянию на конец года должен быть составлен на основании данных инвентаризации и бухгалтерских данных, проверенных путем пересчета скота и домашней птицы в натуре, а также на основании документов о поступлении и выбытии скота с момента пересчета до конца года, в 2-х экземплярах, один из которых представляется руководителю районного отдела государственной статистики до 12 января, а другой остается в хозяйстве.</w:t>
      </w:r>
    </w:p>
    <w:p>
      <w:pPr>
        <w:spacing w:after="120"/>
        <w:jc w:val="both"/>
      </w:pPr>
      <w:r>
        <w:rPr>
          <w:rFonts w:ascii="Arial" w:cs="Arial" w:eastAsia="Arial" w:hAnsi="Arial"/>
          <w:sz w:val="24"/>
          <w:szCs w:val="24"/>
        </w:rPr>
        <w:t xml:space="preserve">2.4. При учете скота необходимо выяснить, есть ли скот, принадлежащий частным лицам (чабану или другим лицам), и содержащийся в общественном стаде. При наличии такого скота администрация хозяйства должна сдать в айыл окмоту список частных лиц, скот которых находится в общественном стаде, с указанием данных о видах скота, его численности по половозрастным группам. Этот скот прибавляется к наличию скота населенного пункта по месту жительства его владельца.</w:t>
      </w:r>
    </w:p>
    <w:p>
      <w:pPr>
        <w:spacing w:after="120"/>
        <w:jc w:val="both"/>
      </w:pPr>
      <w:r>
        <w:rPr>
          <w:rFonts w:ascii="Arial" w:cs="Arial" w:eastAsia="Arial" w:hAnsi="Arial"/>
          <w:sz w:val="24"/>
          <w:szCs w:val="24"/>
        </w:rPr>
        <w:t xml:space="preserve">2.5. Если установлено, что хозяйство юридических лиц передает молодняк скота на выращивание (откорм) хозяйствам граждан или крестьянскому (фермерскому) хозяйству, необходимо выяснить адрес главы хозяйства, принявшего на выращивание скот, чтобы избежать двойного его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проведения учета скота и домашней птицы</w:t>
      </w:r>
    </w:p>
    <w:p>
      <w:pPr>
        <w:spacing w:after="120"/>
        <w:jc w:val="both"/>
      </w:pPr>
      <w:r>
        <w:rPr>
          <w:rFonts w:ascii="Arial" w:cs="Arial" w:eastAsia="Arial" w:hAnsi="Arial"/>
          <w:sz w:val="24"/>
          <w:szCs w:val="24"/>
        </w:rPr>
        <w:t xml:space="preserve">в личных подсобных хозяйствах граждан, в крестьянских</w:t>
      </w:r>
    </w:p>
    <w:p>
      <w:pPr>
        <w:spacing w:after="120"/>
        <w:jc w:val="both"/>
      </w:pPr>
      <w:r>
        <w:rPr>
          <w:rFonts w:ascii="Arial" w:cs="Arial" w:eastAsia="Arial" w:hAnsi="Arial"/>
          <w:sz w:val="24"/>
          <w:szCs w:val="24"/>
        </w:rPr>
        <w:t xml:space="preserve">(фермерских) хозяйствах и хозяйствах индивидуальных</w:t>
      </w:r>
    </w:p>
    <w:p>
      <w:pPr>
        <w:spacing w:after="120"/>
        <w:jc w:val="both"/>
      </w:pPr>
      <w:r>
        <w:rPr>
          <w:rFonts w:ascii="Arial" w:cs="Arial" w:eastAsia="Arial" w:hAnsi="Arial"/>
          <w:sz w:val="24"/>
          <w:szCs w:val="24"/>
        </w:rPr>
        <w:t xml:space="preserve">предпринимателей, осуществляющих сельскохозяйственную</w:t>
      </w:r>
    </w:p>
    <w:p>
      <w:pPr>
        <w:spacing w:after="120"/>
        <w:jc w:val="both"/>
      </w:pPr>
      <w:r>
        <w:rPr>
          <w:rFonts w:ascii="Arial" w:cs="Arial" w:eastAsia="Arial" w:hAnsi="Arial"/>
          <w:sz w:val="24"/>
          <w:szCs w:val="24"/>
        </w:rPr>
        <w:t xml:space="preserve">деятельность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целях получения данных учета скота и домашней птицы по категориям хозяйств необходимо учесть следующее:</w:t>
      </w:r>
    </w:p>
    <w:p>
      <w:pPr>
        <w:spacing w:after="120"/>
        <w:jc w:val="both"/>
      </w:pPr>
      <w:r>
        <w:rPr>
          <w:rFonts w:ascii="Arial" w:cs="Arial" w:eastAsia="Arial" w:hAnsi="Arial"/>
          <w:sz w:val="24"/>
          <w:szCs w:val="24"/>
        </w:rPr>
        <w:t xml:space="preserve">- при объединении двух или нескольких крестьянских (фермерских) хозяйств, по категории "крестьянские (фермерские) хозяйства" учитывается скот, переданный в общую собственность на основе устава (договора), или приобретенный на общие средства его членов;</w:t>
      </w:r>
    </w:p>
    <w:p>
      <w:pPr>
        <w:spacing w:after="120"/>
        <w:jc w:val="both"/>
      </w:pPr>
      <w:r>
        <w:rPr>
          <w:rFonts w:ascii="Arial" w:cs="Arial" w:eastAsia="Arial" w:hAnsi="Arial"/>
          <w:sz w:val="24"/>
          <w:szCs w:val="24"/>
        </w:rPr>
        <w:t xml:space="preserve">- скот, содержащийся на личном подворье и являющийся личной собственностью членов крестьянского (фермерского) хозяйства, учитывается по категории "личные подсобные хозяйства граждан";</w:t>
      </w:r>
    </w:p>
    <w:p>
      <w:pPr>
        <w:spacing w:after="120"/>
        <w:jc w:val="both"/>
      </w:pPr>
      <w:r>
        <w:rPr>
          <w:rFonts w:ascii="Arial" w:cs="Arial" w:eastAsia="Arial" w:hAnsi="Arial"/>
          <w:sz w:val="24"/>
          <w:szCs w:val="24"/>
        </w:rPr>
        <w:t xml:space="preserve">- скот и домашняя птица крестьянского (фермерского) хозяйства, хозяйства индивидуального предпринимателя, состоящего из одного домохозяйства, учитывается по категории "крестьянские (фермерские) хозяйства";</w:t>
      </w:r>
    </w:p>
    <w:p>
      <w:pPr>
        <w:spacing w:after="120"/>
        <w:jc w:val="both"/>
      </w:pPr>
      <w:r>
        <w:rPr>
          <w:rFonts w:ascii="Arial" w:cs="Arial" w:eastAsia="Arial" w:hAnsi="Arial"/>
          <w:sz w:val="24"/>
          <w:szCs w:val="24"/>
        </w:rPr>
        <w:t xml:space="preserve">- скот и домашняя птица хозяйств индивидуальных предпринимателей, не занимающихся сельскохозяйственной деятельностью, учитывается по категории "личные подсобные хозяйства граждан".</w:t>
      </w:r>
    </w:p>
    <w:p>
      <w:pPr>
        <w:spacing w:after="120"/>
        <w:jc w:val="both"/>
      </w:pPr>
      <w:r>
        <w:rPr>
          <w:rFonts w:ascii="Arial" w:cs="Arial" w:eastAsia="Arial" w:hAnsi="Arial"/>
          <w:sz w:val="24"/>
          <w:szCs w:val="24"/>
        </w:rPr>
        <w:t xml:space="preserve">3.2. Учет крупного рогатого скота (включая яков), овец, коз, свиней, лошадей, верблюдов, кроликов, ослов, пушных зверей, количества пчелосемей и домашней птицы, а также домашних собак и кошек, находящихся в личных подсобных хозяйствах граждан, крестьянских (фермерских) хозяйствах и хозяйствах индивидуальных предпринимателей, проводится айыл окмоту с 1 декабря по 30 декабря.</w:t>
      </w:r>
    </w:p>
    <w:p>
      <w:pPr>
        <w:spacing w:after="120"/>
        <w:jc w:val="both"/>
      </w:pPr>
      <w:r>
        <w:rPr>
          <w:rFonts w:ascii="Arial" w:cs="Arial" w:eastAsia="Arial" w:hAnsi="Arial"/>
          <w:sz w:val="24"/>
          <w:szCs w:val="24"/>
        </w:rPr>
        <w:t xml:space="preserve">3.3. Секретарь айыл окмоту или лицо, ответственное за проведение учета скота, получает не позже 24 ноября от руководителя районного отдела государственной статистики бланки форм № 3, 6, 9-с.</w:t>
      </w:r>
    </w:p>
    <w:p>
      <w:pPr>
        <w:spacing w:after="120"/>
        <w:jc w:val="both"/>
      </w:pPr>
      <w:r>
        <w:rPr>
          <w:rFonts w:ascii="Arial" w:cs="Arial" w:eastAsia="Arial" w:hAnsi="Arial"/>
          <w:sz w:val="24"/>
          <w:szCs w:val="24"/>
        </w:rPr>
        <w:t xml:space="preserve">3.4. Данные о численности скота и домашней птицы в личных подсобных хозяйствах граждан, крестьянских (фермерских) хозяйствах и хозяйствах индивидуальных предпринимателей по состоянию на 1 декабря 2009 года записываются в списки по форме № 3 без указания фамилии владельца скота, на основании сплошного обхода домохозяйств (дворов), путем опроса владельцев скота или взрослых членов семьи. В целях уточнения достоверности данных о численности поголовья скота можно использовать опрос соседей.</w:t>
      </w:r>
    </w:p>
    <w:p>
      <w:pPr>
        <w:spacing w:after="120"/>
        <w:jc w:val="both"/>
      </w:pPr>
      <w:r>
        <w:rPr>
          <w:rFonts w:ascii="Arial" w:cs="Arial" w:eastAsia="Arial" w:hAnsi="Arial"/>
          <w:sz w:val="24"/>
          <w:szCs w:val="24"/>
        </w:rPr>
        <w:t xml:space="preserve">3.5. При учете скота и домашней птицы в сельской местности учитываются все домохозяйства, как имеющие так и не имеющие скот и домашнюю птицу. Лица, проводящие его учет, должны обойти все без исключения домохозяйства на порученном им участке, обратив особое внимание на то, чтобы не были пропущены дворы на территориальных границах с соседним участком (населенным пунктом).</w:t>
      </w:r>
    </w:p>
    <w:p>
      <w:pPr>
        <w:spacing w:after="120"/>
        <w:jc w:val="both"/>
      </w:pPr>
      <w:r>
        <w:rPr>
          <w:rFonts w:ascii="Arial" w:cs="Arial" w:eastAsia="Arial" w:hAnsi="Arial"/>
          <w:sz w:val="24"/>
          <w:szCs w:val="24"/>
        </w:rPr>
        <w:t xml:space="preserve">Лицам, проводящим учет скота, обратить внимание на то, что домохозяйства не имеющие скот и домашнюю птицу, заносятся в ф.3 и по всей строке такому домохозяйству ставится отметка "Не имеет скота", это необходимо для заполнения ф.9-с.</w:t>
      </w:r>
    </w:p>
    <w:p>
      <w:pPr>
        <w:spacing w:after="120"/>
        <w:jc w:val="both"/>
      </w:pPr>
      <w:r>
        <w:rPr>
          <w:rFonts w:ascii="Arial" w:cs="Arial" w:eastAsia="Arial" w:hAnsi="Arial"/>
          <w:sz w:val="24"/>
          <w:szCs w:val="24"/>
        </w:rPr>
        <w:t xml:space="preserve">3.6. Запись в подворные списки по форме № 3 производится отдельно по каждому населенному пункту с указанием его названия. При этом заполняются две отдельные формы № 3:</w:t>
      </w:r>
    </w:p>
    <w:p>
      <w:pPr>
        <w:spacing w:after="120"/>
        <w:jc w:val="both"/>
      </w:pPr>
      <w:r>
        <w:rPr>
          <w:rFonts w:ascii="Arial" w:cs="Arial" w:eastAsia="Arial" w:hAnsi="Arial"/>
          <w:sz w:val="24"/>
          <w:szCs w:val="24"/>
        </w:rPr>
        <w:t xml:space="preserve">- по личным подсобным хозяйствам граждан;</w:t>
      </w:r>
    </w:p>
    <w:p>
      <w:pPr>
        <w:spacing w:after="120"/>
        <w:jc w:val="both"/>
      </w:pPr>
      <w:r>
        <w:rPr>
          <w:rFonts w:ascii="Arial" w:cs="Arial" w:eastAsia="Arial" w:hAnsi="Arial"/>
          <w:sz w:val="24"/>
          <w:szCs w:val="24"/>
        </w:rPr>
        <w:t xml:space="preserve">- по крестьянским (фермерским) хозяйствам и хозяйствам индивидуальных предпринимателей.</w:t>
      </w:r>
    </w:p>
    <w:p>
      <w:pPr>
        <w:spacing w:after="120"/>
        <w:jc w:val="both"/>
      </w:pPr>
      <w:r>
        <w:rPr>
          <w:rFonts w:ascii="Arial" w:cs="Arial" w:eastAsia="Arial" w:hAnsi="Arial"/>
          <w:sz w:val="24"/>
          <w:szCs w:val="24"/>
        </w:rPr>
        <w:t xml:space="preserve">Подсчет итогов производится под строкой последнего по списку хозяйства по каждой категории хозяйств.</w:t>
      </w:r>
    </w:p>
    <w:p>
      <w:pPr>
        <w:spacing w:after="120"/>
        <w:jc w:val="both"/>
      </w:pPr>
      <w:r>
        <w:rPr>
          <w:rFonts w:ascii="Arial" w:cs="Arial" w:eastAsia="Arial" w:hAnsi="Arial"/>
          <w:sz w:val="24"/>
          <w:szCs w:val="24"/>
        </w:rPr>
        <w:t xml:space="preserve">3.7. Если в домохозяйстве содержится скот, принадлежащий лицу, не проживающему на территории данного аильного округа, то данные о наличии такого скота записываются в подворный список по форме № 3 по месту нахождения скота.</w:t>
      </w:r>
    </w:p>
    <w:p>
      <w:pPr>
        <w:spacing w:after="120"/>
        <w:jc w:val="both"/>
      </w:pPr>
      <w:r>
        <w:rPr>
          <w:rFonts w:ascii="Arial" w:cs="Arial" w:eastAsia="Arial" w:hAnsi="Arial"/>
          <w:sz w:val="24"/>
          <w:szCs w:val="24"/>
        </w:rPr>
        <w:t xml:space="preserve">3.8. Если в домохозяйстве находится скот, откорм которого производится по договору с хозяйством юридических лиц, то сведения о численности такого скота в форму № 3 не заносятся, так как он учитывается в хозяйстве, на балансе которого он находится.</w:t>
      </w:r>
    </w:p>
    <w:p>
      <w:pPr>
        <w:spacing w:after="120"/>
        <w:jc w:val="both"/>
      </w:pPr>
      <w:r>
        <w:rPr>
          <w:rFonts w:ascii="Arial" w:cs="Arial" w:eastAsia="Arial" w:hAnsi="Arial"/>
          <w:sz w:val="24"/>
          <w:szCs w:val="24"/>
        </w:rPr>
        <w:t xml:space="preserve">3.9. На отдельно стоящих объектах (отдаленные высокогорные выпасы, кошары, строения, станы и др.), а также в коллективных садах и огородах (дачах) учет скота и домашней птицы, а также домашних собак и кошек осуществляется по форме № 3 сельской комиссией. Итоги учета скота по отдельно стоящим объектам по форме № 3 сдаются в айыл окмоту.</w:t>
      </w:r>
    </w:p>
    <w:p>
      <w:pPr>
        <w:spacing w:after="120"/>
        <w:jc w:val="both"/>
      </w:pPr>
      <w:r>
        <w:rPr>
          <w:rFonts w:ascii="Arial" w:cs="Arial" w:eastAsia="Arial" w:hAnsi="Arial"/>
          <w:sz w:val="24"/>
          <w:szCs w:val="24"/>
        </w:rPr>
        <w:t xml:space="preserve">Для исключения двойного счета комиссия должна выяснить, не включен ли скот, находящийся в отдельно стоящих объектах, в ф. № 3, составляемую по месту постоянного жительства владельца скота.</w:t>
      </w:r>
    </w:p>
    <w:p>
      <w:pPr>
        <w:spacing w:after="120"/>
        <w:jc w:val="both"/>
      </w:pPr>
      <w:r>
        <w:rPr>
          <w:rFonts w:ascii="Arial" w:cs="Arial" w:eastAsia="Arial" w:hAnsi="Arial"/>
          <w:sz w:val="24"/>
          <w:szCs w:val="24"/>
        </w:rPr>
        <w:t xml:space="preserve">3.10. После завершения учета скота, в целях исключения двойного счета домохозяйств следует подсчитать число заполненных строк, включая строки с отметкой "не имеет скот", в формах № 3 (за исключением ф. № 3 по отдельно стоящим объектам). Это число должно совпадать с числом домохозяйств, записанных в похозяйственных книгах или быть несколько меньше (в случае объединения нескольких домохозяйств в одно крестьянское хозяйство с совместным скотом).</w:t>
      </w:r>
    </w:p>
    <w:p>
      <w:pPr>
        <w:spacing w:after="120"/>
        <w:jc w:val="both"/>
      </w:pPr>
      <w:r>
        <w:rPr>
          <w:rFonts w:ascii="Arial" w:cs="Arial" w:eastAsia="Arial" w:hAnsi="Arial"/>
          <w:sz w:val="24"/>
          <w:szCs w:val="24"/>
        </w:rPr>
        <w:t xml:space="preserve">3.11. Подворные списки (ф. № 3) хранятся в айыл окмоту вместе с похозяйственными книгами.</w:t>
      </w:r>
    </w:p>
    <w:p>
      <w:pPr>
        <w:spacing w:after="120"/>
        <w:jc w:val="both"/>
      </w:pPr>
      <w:r>
        <w:rPr>
          <w:rFonts w:ascii="Arial" w:cs="Arial" w:eastAsia="Arial" w:hAnsi="Arial"/>
          <w:sz w:val="24"/>
          <w:szCs w:val="24"/>
        </w:rPr>
        <w:t xml:space="preserve">3.12. Итоговые данные из формы № 3 по крестьянским (фермерским) хозяйствам, хозяйствам индивидуальных предпринимателей и личным подсобным хозяйствам граждан переносятся в форму № 6 по каждому населенному пункту, а также по отдельно стоящим объектам (кошарам) для подсчета итогов в целом по айыл окмоту.</w:t>
      </w:r>
    </w:p>
    <w:p>
      <w:pPr>
        <w:spacing w:after="120"/>
        <w:jc w:val="both"/>
      </w:pPr>
      <w:r>
        <w:rPr>
          <w:rFonts w:ascii="Arial" w:cs="Arial" w:eastAsia="Arial" w:hAnsi="Arial"/>
          <w:sz w:val="24"/>
          <w:szCs w:val="24"/>
        </w:rPr>
        <w:t xml:space="preserve">3.13. В районный отдел статистики сдаются по ф. № 6 сводные итоги учета скота и домашней птицы по айыл окмоту, в т.ч. по каждому населенному пункту и отдельно стоящим объектам (кошарам).</w:t>
      </w:r>
    </w:p>
    <w:p>
      <w:pPr>
        <w:spacing w:after="120"/>
        <w:jc w:val="both"/>
      </w:pPr>
      <w:r>
        <w:rPr>
          <w:rFonts w:ascii="Arial" w:cs="Arial" w:eastAsia="Arial" w:hAnsi="Arial"/>
          <w:sz w:val="24"/>
          <w:szCs w:val="24"/>
        </w:rPr>
        <w:t xml:space="preserve">3.14. На основании данных ф. № 3 заполняется ф. № 9-с "Отчет об обеспеченности скотом в сельской местности". При составлении ф. 9-с необходимо иметь в виду, что форма составляется только по наличным домохозяйствам (без отсутствующих). Следует обратить особое внимание на то, чтобы число домохозяйств, имеющих тот или иной вид скота, было увязано с численностью этих видов скота.</w:t>
      </w:r>
    </w:p>
    <w:p>
      <w:pPr>
        <w:spacing w:after="120"/>
        <w:jc w:val="both"/>
      </w:pPr>
      <w:r>
        <w:rPr>
          <w:rFonts w:ascii="Arial" w:cs="Arial" w:eastAsia="Arial" w:hAnsi="Arial"/>
          <w:sz w:val="24"/>
          <w:szCs w:val="24"/>
        </w:rPr>
        <w:t xml:space="preserve">3.15. Секретарь айыл окмоту сдает подписанные формы № 6 и 9-с в районный отдел государственной статистики не позднее 12 января.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учета скота и домашней птицы</w:t>
      </w:r>
    </w:p>
    <w:p>
      <w:pPr>
        <w:spacing w:after="120"/>
        <w:jc w:val="both"/>
      </w:pPr>
      <w:r>
        <w:rPr>
          <w:rFonts w:ascii="Arial" w:cs="Arial" w:eastAsia="Arial" w:hAnsi="Arial"/>
          <w:sz w:val="24"/>
          <w:szCs w:val="24"/>
        </w:rPr>
        <w:t xml:space="preserve">в личных подсобных хозяйствах граждан, крестьянских</w:t>
      </w:r>
    </w:p>
    <w:p>
      <w:pPr>
        <w:spacing w:after="120"/>
        <w:jc w:val="both"/>
      </w:pPr>
      <w:r>
        <w:rPr>
          <w:rFonts w:ascii="Arial" w:cs="Arial" w:eastAsia="Arial" w:hAnsi="Arial"/>
          <w:sz w:val="24"/>
          <w:szCs w:val="24"/>
        </w:rPr>
        <w:t xml:space="preserve">(фермерских) хозяйствах и хозяйствах индивидуальных</w:t>
      </w:r>
    </w:p>
    <w:p>
      <w:pPr>
        <w:spacing w:after="120"/>
        <w:jc w:val="both"/>
      </w:pPr>
      <w:r>
        <w:rPr>
          <w:rFonts w:ascii="Arial" w:cs="Arial" w:eastAsia="Arial" w:hAnsi="Arial"/>
          <w:sz w:val="24"/>
          <w:szCs w:val="24"/>
        </w:rPr>
        <w:t xml:space="preserve">предпринимателей, осуществляющих сельскохозяйственную</w:t>
      </w:r>
    </w:p>
    <w:p>
      <w:pPr>
        <w:spacing w:after="120"/>
        <w:jc w:val="both"/>
      </w:pPr>
      <w:r>
        <w:rPr>
          <w:rFonts w:ascii="Arial" w:cs="Arial" w:eastAsia="Arial" w:hAnsi="Arial"/>
          <w:sz w:val="24"/>
          <w:szCs w:val="24"/>
        </w:rPr>
        <w:t xml:space="preserve">деятельность, проживающих в городах и поселках</w:t>
      </w:r>
    </w:p>
    <w:p>
      <w:pPr>
        <w:spacing w:after="120"/>
        <w:jc w:val="both"/>
      </w:pPr>
      <w:r>
        <w:rPr>
          <w:rFonts w:ascii="Arial" w:cs="Arial" w:eastAsia="Arial" w:hAnsi="Arial"/>
          <w:sz w:val="24"/>
          <w:szCs w:val="24"/>
        </w:rPr>
        <w:t xml:space="preserve">городского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Учет скота и домашней птицы в городах и поселках городского типа повсеместно начинается 1 декабря и проводится до 30 декабря, включая подсчет итогов, на бланке формы № 4 "Список по учету скота в городской местности".</w:t>
      </w:r>
    </w:p>
    <w:p>
      <w:pPr>
        <w:spacing w:after="120"/>
        <w:jc w:val="both"/>
      </w:pPr>
      <w:r>
        <w:rPr>
          <w:rFonts w:ascii="Arial" w:cs="Arial" w:eastAsia="Arial" w:hAnsi="Arial"/>
          <w:sz w:val="24"/>
          <w:szCs w:val="24"/>
        </w:rPr>
        <w:t xml:space="preserve">4.2. Обход всех домовладений, опрос владельцев скота счетчик производит с участием представителя городской или районной госадминистраций, органов местного территориального управления, квартальных комитетов, председателей коллективных садов и огородов, имеющихся на территории города.</w:t>
      </w:r>
    </w:p>
    <w:p>
      <w:pPr>
        <w:spacing w:after="120"/>
        <w:jc w:val="both"/>
      </w:pPr>
      <w:r>
        <w:rPr>
          <w:rFonts w:ascii="Arial" w:cs="Arial" w:eastAsia="Arial" w:hAnsi="Arial"/>
          <w:sz w:val="24"/>
          <w:szCs w:val="24"/>
        </w:rPr>
        <w:t xml:space="preserve">4.3. Запись хозяйств производится раздельно по каждому населенному пункту, микрорайону или кварталу с указанием его названия. В каждую строку списка формы № 4 записывается одно домохозяйство. Одним домохозяйством (одной семьей) считаются живущие совместно родственники, ведущие общее домашнее хозяйство. Одиночка, не имеющий семьи, считается отдельным домохозяйством. Если в доме, квартире проживают две или более семьи, ведущие самостоятельное хозяйство, то каждая из этих семей учитывается как отдельное домохозяйство.</w:t>
      </w:r>
    </w:p>
    <w:p>
      <w:pPr>
        <w:spacing w:after="120"/>
        <w:jc w:val="both"/>
      </w:pPr>
      <w:r>
        <w:rPr>
          <w:rFonts w:ascii="Arial" w:cs="Arial" w:eastAsia="Arial" w:hAnsi="Arial"/>
          <w:sz w:val="24"/>
          <w:szCs w:val="24"/>
        </w:rPr>
        <w:t xml:space="preserve">4.4. В списки по форме № 4 записывают только те домохозяйства, которые имеют скот и домашнюю птицу.</w:t>
      </w:r>
    </w:p>
    <w:p>
      <w:pPr>
        <w:spacing w:after="120"/>
        <w:jc w:val="both"/>
      </w:pPr>
      <w:r>
        <w:rPr>
          <w:rFonts w:ascii="Arial" w:cs="Arial" w:eastAsia="Arial" w:hAnsi="Arial"/>
          <w:sz w:val="24"/>
          <w:szCs w:val="24"/>
        </w:rPr>
        <w:t xml:space="preserve">4.5. По окончании учета по своему участку счетчик сразу же подсчитывает общую численность переписанного им скота и домашней птицы по форме № 4 и сдает подписанные материалы руководителю городского (районного) отдела государственной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проведения учета скота и домашней птицы</w:t>
      </w:r>
    </w:p>
    <w:p>
      <w:pPr>
        <w:spacing w:after="120"/>
        <w:jc w:val="both"/>
      </w:pPr>
      <w:r>
        <w:rPr>
          <w:rFonts w:ascii="Arial" w:cs="Arial" w:eastAsia="Arial" w:hAnsi="Arial"/>
          <w:sz w:val="24"/>
          <w:szCs w:val="24"/>
        </w:rPr>
        <w:t xml:space="preserve">на охраняемых объектах и закрытых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Скот и домашняя птица, принадлежащие подсобным хозяйствам Министерства обороны Кыргызской Республики, МВД Кыргызской Республики, Государственной службы национальной безопасности Кыргызской Республики, Министерства юстиции Кыргызской Республики, а также гражданам, проживающим в зоне расположения воинских частей и других особо охраняемых территорий, учитывается на конец года соответствующими министерствами и ведомствами.</w:t>
      </w:r>
    </w:p>
    <w:p>
      <w:pPr>
        <w:spacing w:after="120"/>
        <w:jc w:val="both"/>
      </w:pPr>
      <w:r>
        <w:rPr>
          <w:rFonts w:ascii="Arial" w:cs="Arial" w:eastAsia="Arial" w:hAnsi="Arial"/>
          <w:sz w:val="24"/>
          <w:szCs w:val="24"/>
        </w:rPr>
        <w:t xml:space="preserve">5.2. Данные о наличии скота и домашней птицы в этих хозяйствах направляются в Нацстаткомитет Кыргызской Республики по формы № 6 "Итоги учета скота и домашней птицы" до 20 января.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и проверка материалов учета скота</w:t>
      </w:r>
    </w:p>
    <w:p>
      <w:pPr>
        <w:spacing w:after="120"/>
        <w:jc w:val="both"/>
      </w:pPr>
      <w:r>
        <w:rPr>
          <w:rFonts w:ascii="Arial" w:cs="Arial" w:eastAsia="Arial" w:hAnsi="Arial"/>
          <w:sz w:val="24"/>
          <w:szCs w:val="24"/>
        </w:rPr>
        <w:t xml:space="preserve">и домашней птицы областными и городскими</w:t>
      </w:r>
    </w:p>
    <w:p>
      <w:pPr>
        <w:spacing w:after="120"/>
        <w:jc w:val="both"/>
      </w:pPr>
      <w:r>
        <w:rPr>
          <w:rFonts w:ascii="Arial" w:cs="Arial" w:eastAsia="Arial" w:hAnsi="Arial"/>
          <w:sz w:val="24"/>
          <w:szCs w:val="24"/>
        </w:rPr>
        <w:t xml:space="preserve">управлениями, районными и городскими отделами</w:t>
      </w:r>
    </w:p>
    <w:p>
      <w:pPr>
        <w:spacing w:after="120"/>
        <w:jc w:val="both"/>
      </w:pPr>
      <w:r>
        <w:rPr>
          <w:rFonts w:ascii="Arial" w:cs="Arial" w:eastAsia="Arial" w:hAnsi="Arial"/>
          <w:sz w:val="24"/>
          <w:szCs w:val="24"/>
        </w:rPr>
        <w:t xml:space="preserve">государственной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приемке материалов учета скота и домашней птицы от хозяйств юридических лиц, айыл окмоту, органов территориального самоуправления, от контрольных комиссий и счетчиков руководитель районного, городского отдела государственной статистики обязан:</w:t>
      </w:r>
    </w:p>
    <w:p>
      <w:pPr>
        <w:spacing w:after="120"/>
        <w:jc w:val="both"/>
      </w:pPr>
      <w:r>
        <w:rPr>
          <w:rFonts w:ascii="Arial" w:cs="Arial" w:eastAsia="Arial" w:hAnsi="Arial"/>
          <w:sz w:val="24"/>
          <w:szCs w:val="24"/>
        </w:rPr>
        <w:t xml:space="preserve">а) проверить полноту охвата учетом всех хозяйств юридических лиц путем сопоставления бланков форм № 24 со списками хозяйствующих субъектов по Единому государственному регистру статистических единиц (ЕГРСЕ), отчетов формы № 6 по селам со списком населенных пунктов по классификатору СОАТЕ, имеющихся на территории аильного округа, обращая особое внимание на мелкие населенные пункты.</w:t>
      </w:r>
    </w:p>
    <w:p>
      <w:pPr>
        <w:spacing w:after="120"/>
        <w:jc w:val="both"/>
      </w:pPr>
      <w:r>
        <w:rPr>
          <w:rFonts w:ascii="Arial" w:cs="Arial" w:eastAsia="Arial" w:hAnsi="Arial"/>
          <w:sz w:val="24"/>
          <w:szCs w:val="24"/>
        </w:rPr>
        <w:t xml:space="preserve">При обнаружении пропусков руководитель районного, городского отдела государственной статистики должен немедленно организовать проведение учета скота по пропущенным хозяйствам и населенным пунктам;</w:t>
      </w:r>
    </w:p>
    <w:p>
      <w:pPr>
        <w:spacing w:after="120"/>
        <w:jc w:val="both"/>
      </w:pPr>
      <w:r>
        <w:rPr>
          <w:rFonts w:ascii="Arial" w:cs="Arial" w:eastAsia="Arial" w:hAnsi="Arial"/>
          <w:sz w:val="24"/>
          <w:szCs w:val="24"/>
        </w:rPr>
        <w:t xml:space="preserve">б) проверить, выполнены ли все указания при заполнении отчетов формы № 24, обращая внимание на точность заполнения адресной части, его название, какому учреждению или организации непосредственно подчиняется, в систему какого Министерства или ведомства входит и т.д.;</w:t>
      </w:r>
    </w:p>
    <w:p>
      <w:pPr>
        <w:spacing w:after="120"/>
        <w:jc w:val="both"/>
      </w:pPr>
      <w:r>
        <w:rPr>
          <w:rFonts w:ascii="Arial" w:cs="Arial" w:eastAsia="Arial" w:hAnsi="Arial"/>
          <w:sz w:val="24"/>
          <w:szCs w:val="24"/>
        </w:rPr>
        <w:t xml:space="preserve">в) проверить по отчетам формы № 24 правильность учета скота и домашней птицы и при необходимости хозяйство юридических лиц обязано представить инвентаризационные описи скота, птицы и пчелосемей на конец года, а также другие документы, подтверждающие достоверность показателей отчетности;</w:t>
      </w:r>
    </w:p>
    <w:p>
      <w:pPr>
        <w:spacing w:after="120"/>
        <w:jc w:val="both"/>
      </w:pPr>
      <w:r>
        <w:rPr>
          <w:rFonts w:ascii="Arial" w:cs="Arial" w:eastAsia="Arial" w:hAnsi="Arial"/>
          <w:sz w:val="24"/>
          <w:szCs w:val="24"/>
        </w:rPr>
        <w:t xml:space="preserve">г) проверить правильность составления формы № 6 по категориям хозяйств и возрастным группам скота путем суммирования итогов по населенным пунктам, находящимся на территории аильного округа;</w:t>
      </w:r>
    </w:p>
    <w:p>
      <w:pPr>
        <w:spacing w:after="120"/>
        <w:jc w:val="both"/>
      </w:pPr>
      <w:r>
        <w:rPr>
          <w:rFonts w:ascii="Arial" w:cs="Arial" w:eastAsia="Arial" w:hAnsi="Arial"/>
          <w:sz w:val="24"/>
          <w:szCs w:val="24"/>
        </w:rPr>
        <w:t xml:space="preserve">д) областные управления государственной статистики получают районные итоги учета скота и домашней птицы, осуществляют дополнительный логический и арифметический контроль и свод итогов по области с последующей передачей данных в Нацстаткомитет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Указания по заполнению формы № 3 (учет скота)</w:t>
      </w:r>
    </w:p>
    <w:p>
      <w:pPr>
        <w:spacing w:after="120"/>
        <w:jc w:val="both"/>
      </w:pPr>
      <w:r>
        <w:rPr>
          <w:rFonts w:ascii="Arial" w:cs="Arial" w:eastAsia="Arial" w:hAnsi="Arial"/>
          <w:sz w:val="24"/>
          <w:szCs w:val="24"/>
        </w:rPr>
        <w:t xml:space="preserve">"Подворный список по учету скота и домашней птицы</w:t>
      </w:r>
    </w:p>
    <w:p>
      <w:pPr>
        <w:spacing w:after="120"/>
        <w:jc w:val="both"/>
      </w:pPr>
      <w:r>
        <w:rPr>
          <w:rFonts w:ascii="Arial" w:cs="Arial" w:eastAsia="Arial" w:hAnsi="Arial"/>
          <w:sz w:val="24"/>
          <w:szCs w:val="24"/>
        </w:rPr>
        <w:t xml:space="preserve">в сельской местности" и формы № 4 (учет скота)</w:t>
      </w:r>
    </w:p>
    <w:p>
      <w:pPr>
        <w:spacing w:after="120"/>
        <w:jc w:val="both"/>
      </w:pPr>
      <w:r>
        <w:rPr>
          <w:rFonts w:ascii="Arial" w:cs="Arial" w:eastAsia="Arial" w:hAnsi="Arial"/>
          <w:sz w:val="24"/>
          <w:szCs w:val="24"/>
        </w:rPr>
        <w:t xml:space="preserve">"Список по учету скота и домашней птицы</w:t>
      </w:r>
    </w:p>
    <w:p>
      <w:pPr>
        <w:spacing w:after="120"/>
        <w:jc w:val="both"/>
      </w:pPr>
      <w:r>
        <w:rPr>
          <w:rFonts w:ascii="Arial" w:cs="Arial" w:eastAsia="Arial" w:hAnsi="Arial"/>
          <w:sz w:val="24"/>
          <w:szCs w:val="24"/>
        </w:rPr>
        <w:t xml:space="preserve">в городской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3 "Подворный список по учету скота и домашней птицы в сельской местности" и форма № 4 "Список по учету скота и домашней птицы в городской местности" заполняются отдельно:</w:t>
      </w:r>
    </w:p>
    <w:p>
      <w:pPr>
        <w:spacing w:after="120"/>
        <w:jc w:val="both"/>
      </w:pPr>
      <w:r>
        <w:rPr>
          <w:rFonts w:ascii="Arial" w:cs="Arial" w:eastAsia="Arial" w:hAnsi="Arial"/>
          <w:sz w:val="24"/>
          <w:szCs w:val="24"/>
        </w:rPr>
        <w:t xml:space="preserve">- на крестьянские (фермерские) хозяйства и хозяйства индивидуальных предпринимателей;</w:t>
      </w:r>
    </w:p>
    <w:p>
      <w:pPr>
        <w:spacing w:after="120"/>
        <w:jc w:val="both"/>
      </w:pPr>
      <w:r>
        <w:rPr>
          <w:rFonts w:ascii="Arial" w:cs="Arial" w:eastAsia="Arial" w:hAnsi="Arial"/>
          <w:sz w:val="24"/>
          <w:szCs w:val="24"/>
        </w:rPr>
        <w:t xml:space="preserve">- на личные подсобные хозяйства граждан. Категория хозяйства подчеркивается на титульном листе.</w:t>
      </w:r>
    </w:p>
    <w:p>
      <w:pPr>
        <w:spacing w:after="120"/>
        <w:jc w:val="both"/>
      </w:pPr>
      <w:r>
        <w:rPr>
          <w:rFonts w:ascii="Arial" w:cs="Arial" w:eastAsia="Arial" w:hAnsi="Arial"/>
          <w:sz w:val="24"/>
          <w:szCs w:val="24"/>
        </w:rPr>
        <w:t xml:space="preserve">Форма № 3 заполняется в пределах одного населенного пункта, форма № 4 - в пределах одного города с полным их наименованием.</w:t>
      </w:r>
    </w:p>
    <w:p>
      <w:pPr>
        <w:spacing w:after="120"/>
        <w:jc w:val="both"/>
      </w:pPr>
      <w:r>
        <w:rPr>
          <w:rFonts w:ascii="Arial" w:cs="Arial" w:eastAsia="Arial" w:hAnsi="Arial"/>
          <w:sz w:val="24"/>
          <w:szCs w:val="24"/>
        </w:rPr>
        <w:t xml:space="preserve">Клетки кода СОАТЕ заполняются в районном, городском отделе государственной статистики.</w:t>
      </w:r>
    </w:p>
    <w:p>
      <w:pPr>
        <w:spacing w:after="120"/>
        <w:jc w:val="both"/>
      </w:pPr>
      <w:r>
        <w:rPr>
          <w:rFonts w:ascii="Arial" w:cs="Arial" w:eastAsia="Arial" w:hAnsi="Arial"/>
          <w:sz w:val="24"/>
          <w:szCs w:val="24"/>
        </w:rPr>
        <w:t xml:space="preserve">В адресной части наименование области, района, города, аильного округа, населенного пункта заполняется полностью без сокращений, при этом слова "область", "район", "город" и т.д. не пишется, например: "Ошская, Кара-Сууский, Сарайский, Сарай".</w:t>
      </w:r>
    </w:p>
    <w:p>
      <w:pPr>
        <w:spacing w:after="120"/>
        <w:jc w:val="both"/>
      </w:pPr>
      <w:r>
        <w:rPr>
          <w:rFonts w:ascii="Arial" w:cs="Arial" w:eastAsia="Arial" w:hAnsi="Arial"/>
          <w:sz w:val="24"/>
          <w:szCs w:val="24"/>
        </w:rPr>
        <w:t xml:space="preserve">В графе 92 записывается название улицы, переулка и номера дома.</w:t>
      </w:r>
    </w:p>
    <w:p>
      <w:pPr>
        <w:spacing w:after="120"/>
        <w:jc w:val="both"/>
      </w:pPr>
      <w:r>
        <w:rPr>
          <w:rFonts w:ascii="Arial" w:cs="Arial" w:eastAsia="Arial" w:hAnsi="Arial"/>
          <w:sz w:val="24"/>
          <w:szCs w:val="24"/>
        </w:rPr>
        <w:t xml:space="preserve">По графе 301 "Крупный рогатый скот - всего" - учитывается поголовье крупного рогатого скота всех половозрастных групп, в том числе яков, и равняется сумме граф (302+303+304+305+306+307+308).</w:t>
      </w:r>
    </w:p>
    <w:p>
      <w:pPr>
        <w:spacing w:after="120"/>
        <w:jc w:val="both"/>
      </w:pPr>
      <w:r>
        <w:rPr>
          <w:rFonts w:ascii="Arial" w:cs="Arial" w:eastAsia="Arial" w:hAnsi="Arial"/>
          <w:sz w:val="24"/>
          <w:szCs w:val="24"/>
        </w:rPr>
        <w:t xml:space="preserve">По графе 302 "Коровы - всего" - учитывается лактирующее маточное поголовье крупного рогатого скота. В число коров включаются все коровы, независимо от того, телились ли они в отчетном году или нет. Осемененные, но еще не телившиеся телки, независимо от их возраста, в число коров не включаются.</w:t>
      </w:r>
    </w:p>
    <w:p>
      <w:pPr>
        <w:spacing w:after="120"/>
        <w:jc w:val="both"/>
      </w:pPr>
      <w:r>
        <w:rPr>
          <w:rFonts w:ascii="Arial" w:cs="Arial" w:eastAsia="Arial" w:hAnsi="Arial"/>
          <w:sz w:val="24"/>
          <w:szCs w:val="24"/>
        </w:rPr>
        <w:t xml:space="preserve">По графе 303 "Телки от 1 года до 2 лет и от 2-х лет и старше (осемененные)" - учитываются осемененные телки в возрасте от 12-ти и старше 24 месяцев, которые на 1 декабря были фактически осеменены (случены или искусственно осеменены), независимо от того, установлена их стельность или нет.</w:t>
      </w:r>
    </w:p>
    <w:p>
      <w:pPr>
        <w:spacing w:after="120"/>
        <w:jc w:val="both"/>
      </w:pPr>
      <w:r>
        <w:rPr>
          <w:rFonts w:ascii="Arial" w:cs="Arial" w:eastAsia="Arial" w:hAnsi="Arial"/>
          <w:sz w:val="24"/>
          <w:szCs w:val="24"/>
        </w:rPr>
        <w:t xml:space="preserve">По графе 304 "Телки от 1 года до 2 лет и от 2-х лет и старше (не осемененные)" - не осемененные телки в возрасте от 12-ти и старше 24 месяцев.</w:t>
      </w:r>
    </w:p>
    <w:p>
      <w:pPr>
        <w:spacing w:after="120"/>
        <w:jc w:val="both"/>
      </w:pPr>
      <w:r>
        <w:rPr>
          <w:rFonts w:ascii="Arial" w:cs="Arial" w:eastAsia="Arial" w:hAnsi="Arial"/>
          <w:sz w:val="24"/>
          <w:szCs w:val="24"/>
        </w:rPr>
        <w:t xml:space="preserve">По графе 305 "Телята до 1 года" - учитывается количество телят (телочки, бычки), приплод крупного рогатого скота в возрасте до 12 месяцев.</w:t>
      </w:r>
    </w:p>
    <w:p>
      <w:pPr>
        <w:spacing w:after="120"/>
        <w:jc w:val="both"/>
      </w:pPr>
      <w:r>
        <w:rPr>
          <w:rFonts w:ascii="Arial" w:cs="Arial" w:eastAsia="Arial" w:hAnsi="Arial"/>
          <w:sz w:val="24"/>
          <w:szCs w:val="24"/>
        </w:rPr>
        <w:t xml:space="preserve">По графе 306 "Быки-производители" - учитывается количество быков-производителей старше 2-х лет.</w:t>
      </w:r>
    </w:p>
    <w:p>
      <w:pPr>
        <w:spacing w:after="120"/>
        <w:jc w:val="both"/>
      </w:pPr>
      <w:r>
        <w:rPr>
          <w:rFonts w:ascii="Arial" w:cs="Arial" w:eastAsia="Arial" w:hAnsi="Arial"/>
          <w:sz w:val="24"/>
          <w:szCs w:val="24"/>
        </w:rPr>
        <w:t xml:space="preserve">По графе 307 "Волы рабочие" - учитывается количество кастрированных быков старше 2-х лет, используемых как рабочий скот в качестве живой тягловой силы на сельскохозяйственных работах и т.п. Волы, временно не работающие по болезни или другим причинам, считаются рабочими.</w:t>
      </w:r>
    </w:p>
    <w:p>
      <w:pPr>
        <w:spacing w:after="120"/>
        <w:jc w:val="both"/>
      </w:pPr>
      <w:r>
        <w:rPr>
          <w:rFonts w:ascii="Arial" w:cs="Arial" w:eastAsia="Arial" w:hAnsi="Arial"/>
          <w:sz w:val="24"/>
          <w:szCs w:val="24"/>
        </w:rPr>
        <w:t xml:space="preserve">По графе 308 "Прочие виды крупного рогатого скота" - учитываются все прочие виды крупного рогатого скота, имеющегося в хозяйстве: быки, не используемые в качестве производителей, а также бычки и волики от 1 года до 2-х лет.</w:t>
      </w:r>
    </w:p>
    <w:p>
      <w:pPr>
        <w:spacing w:after="120"/>
        <w:jc w:val="both"/>
      </w:pPr>
      <w:r>
        <w:rPr>
          <w:rFonts w:ascii="Arial" w:cs="Arial" w:eastAsia="Arial" w:hAnsi="Arial"/>
          <w:sz w:val="24"/>
          <w:szCs w:val="24"/>
        </w:rPr>
        <w:t xml:space="preserve">По графе 309 "Из общего поголовья крупного рогатого скота (графа 301) - яки" - учитывается общее поголовье яков.</w:t>
      </w:r>
    </w:p>
    <w:p>
      <w:pPr>
        <w:spacing w:after="120"/>
        <w:jc w:val="both"/>
      </w:pPr>
      <w:r>
        <w:rPr>
          <w:rFonts w:ascii="Arial" w:cs="Arial" w:eastAsia="Arial" w:hAnsi="Arial"/>
          <w:sz w:val="24"/>
          <w:szCs w:val="24"/>
        </w:rPr>
        <w:t xml:space="preserve">По графе 310 "из них яки-коровы" - учитывается количество яков-коров (из графы 302).</w:t>
      </w:r>
    </w:p>
    <w:p>
      <w:pPr>
        <w:spacing w:after="120"/>
        <w:jc w:val="both"/>
      </w:pPr>
      <w:r>
        <w:rPr>
          <w:rFonts w:ascii="Arial" w:cs="Arial" w:eastAsia="Arial" w:hAnsi="Arial"/>
          <w:sz w:val="24"/>
          <w:szCs w:val="24"/>
        </w:rPr>
        <w:t xml:space="preserve">По графе 311 "Овцы - всего" - показывается общее количество голов овец всех возрастов (бараны-производители, овцематки и ярки старше 1 года, ярочки и баранчики до 1 года, прочие бараны, валушки и валухи).</w:t>
      </w:r>
    </w:p>
    <w:p>
      <w:pPr>
        <w:spacing w:after="120"/>
        <w:jc w:val="both"/>
      </w:pPr>
      <w:r>
        <w:rPr>
          <w:rFonts w:ascii="Arial" w:cs="Arial" w:eastAsia="Arial" w:hAnsi="Arial"/>
          <w:sz w:val="24"/>
          <w:szCs w:val="24"/>
        </w:rPr>
        <w:t xml:space="preserve">По графе 312 "в том числе овцематки и ярки старше 1 года" - учитывается количество овцематок и ярок старше 1 года.</w:t>
      </w:r>
    </w:p>
    <w:p>
      <w:pPr>
        <w:spacing w:after="120"/>
        <w:jc w:val="both"/>
      </w:pPr>
      <w:r>
        <w:rPr>
          <w:rFonts w:ascii="Arial" w:cs="Arial" w:eastAsia="Arial" w:hAnsi="Arial"/>
          <w:sz w:val="24"/>
          <w:szCs w:val="24"/>
        </w:rPr>
        <w:t xml:space="preserve">По графе 313 "Козы - всего" - учитывается всего поголовье коз (козлы-производители, козоматки, козоярки, козлы-кастраты, козлики).</w:t>
      </w:r>
    </w:p>
    <w:p>
      <w:pPr>
        <w:spacing w:after="120"/>
        <w:jc w:val="both"/>
      </w:pPr>
      <w:r>
        <w:rPr>
          <w:rFonts w:ascii="Arial" w:cs="Arial" w:eastAsia="Arial" w:hAnsi="Arial"/>
          <w:sz w:val="24"/>
          <w:szCs w:val="24"/>
        </w:rPr>
        <w:t xml:space="preserve">По графе 314 "в том числе козоматки от 1 года и старше" - учитывается количество козоматок.</w:t>
      </w:r>
    </w:p>
    <w:p>
      <w:pPr>
        <w:spacing w:after="120"/>
        <w:jc w:val="both"/>
      </w:pPr>
      <w:r>
        <w:rPr>
          <w:rFonts w:ascii="Arial" w:cs="Arial" w:eastAsia="Arial" w:hAnsi="Arial"/>
          <w:sz w:val="24"/>
          <w:szCs w:val="24"/>
        </w:rPr>
        <w:t xml:space="preserve">По графе 315 "Лошади - всего" - учитывается общее поголовье лошадей (жеребцы-производители, кобылы старше 3 лет, жеребята до 1 года, жеребчики и кобылки до 3 лет, мерины).</w:t>
      </w:r>
    </w:p>
    <w:p>
      <w:pPr>
        <w:spacing w:after="120"/>
        <w:jc w:val="both"/>
      </w:pPr>
      <w:r>
        <w:rPr>
          <w:rFonts w:ascii="Arial" w:cs="Arial" w:eastAsia="Arial" w:hAnsi="Arial"/>
          <w:sz w:val="24"/>
          <w:szCs w:val="24"/>
        </w:rPr>
        <w:t xml:space="preserve">По графе 316 "кобылы от 3 лет и старше" - учитывается поголовье кобыл, от 3 лет и старше.</w:t>
      </w:r>
    </w:p>
    <w:p>
      <w:pPr>
        <w:spacing w:after="120"/>
        <w:jc w:val="both"/>
      </w:pPr>
      <w:r>
        <w:rPr>
          <w:rFonts w:ascii="Arial" w:cs="Arial" w:eastAsia="Arial" w:hAnsi="Arial"/>
          <w:sz w:val="24"/>
          <w:szCs w:val="24"/>
        </w:rPr>
        <w:t xml:space="preserve">По графе 317 "рабочие лошади" - учитывается количество лошадей, используемых в качестве живой тягловой силы, на сельскохозяйственных работах и т.п. (из графы 315).</w:t>
      </w:r>
    </w:p>
    <w:p>
      <w:pPr>
        <w:spacing w:after="120"/>
        <w:jc w:val="both"/>
      </w:pPr>
      <w:r>
        <w:rPr>
          <w:rFonts w:ascii="Arial" w:cs="Arial" w:eastAsia="Arial" w:hAnsi="Arial"/>
          <w:sz w:val="24"/>
          <w:szCs w:val="24"/>
        </w:rPr>
        <w:t xml:space="preserve">Рабочими лошадьми считаются все мерины, кобылы и жеребцы от 3 лет и старше, участвующие в сельскохозяйственных работах (вспашка, уборка и т.п.) на лесозаготовках, стройках, в извозе, а также как разъездные, верховые и вьючные. Лошади, временно не работающие по болезни или по другим причинам, считаются рабочими. Племенные жеребцы и кобылы не считаются рабочими лошадьми, если они временно используются на легких работах.</w:t>
      </w:r>
    </w:p>
    <w:p>
      <w:pPr>
        <w:spacing w:after="120"/>
        <w:jc w:val="both"/>
      </w:pPr>
      <w:r>
        <w:rPr>
          <w:rFonts w:ascii="Arial" w:cs="Arial" w:eastAsia="Arial" w:hAnsi="Arial"/>
          <w:sz w:val="24"/>
          <w:szCs w:val="24"/>
        </w:rPr>
        <w:t xml:space="preserve">По графе 318 "Свиньи - всего" - учитывается поголовье свиней всех возрастов (хряки-производители, основные и проверяемые свиноматки, поросята и молодняк до 4 месяцев, молодняк старше 4 месяцев, свиньи-кастраты).</w:t>
      </w:r>
    </w:p>
    <w:p>
      <w:pPr>
        <w:spacing w:after="120"/>
        <w:jc w:val="both"/>
      </w:pPr>
      <w:r>
        <w:rPr>
          <w:rFonts w:ascii="Arial" w:cs="Arial" w:eastAsia="Arial" w:hAnsi="Arial"/>
          <w:sz w:val="24"/>
          <w:szCs w:val="24"/>
        </w:rPr>
        <w:t xml:space="preserve">По графе 319 "свиноматки основные" - учитывается поголовье основных свиноматок, давших приплод более одного раза.</w:t>
      </w:r>
    </w:p>
    <w:p>
      <w:pPr>
        <w:spacing w:after="120"/>
        <w:jc w:val="both"/>
      </w:pPr>
      <w:r>
        <w:rPr>
          <w:rFonts w:ascii="Arial" w:cs="Arial" w:eastAsia="Arial" w:hAnsi="Arial"/>
          <w:sz w:val="24"/>
          <w:szCs w:val="24"/>
        </w:rPr>
        <w:t xml:space="preserve">По графе 320 "Кролики - всего" - учитывается поголовье кроликов (кролы, крольчихи и крольчата).</w:t>
      </w:r>
    </w:p>
    <w:p>
      <w:pPr>
        <w:spacing w:after="120"/>
        <w:jc w:val="both"/>
      </w:pPr>
      <w:r>
        <w:rPr>
          <w:rFonts w:ascii="Arial" w:cs="Arial" w:eastAsia="Arial" w:hAnsi="Arial"/>
          <w:sz w:val="24"/>
          <w:szCs w:val="24"/>
        </w:rPr>
        <w:t xml:space="preserve">По графе 321 "Нутрии" - учитывается общее количество нутрий.</w:t>
      </w:r>
    </w:p>
    <w:p>
      <w:pPr>
        <w:spacing w:after="120"/>
        <w:jc w:val="both"/>
      </w:pPr>
      <w:r>
        <w:rPr>
          <w:rFonts w:ascii="Arial" w:cs="Arial" w:eastAsia="Arial" w:hAnsi="Arial"/>
          <w:sz w:val="24"/>
          <w:szCs w:val="24"/>
        </w:rPr>
        <w:t xml:space="preserve">По графе 322 "Лисицы" - учитывается общее количество лисиц.</w:t>
      </w:r>
    </w:p>
    <w:p>
      <w:pPr>
        <w:spacing w:after="120"/>
        <w:jc w:val="both"/>
      </w:pPr>
      <w:r>
        <w:rPr>
          <w:rFonts w:ascii="Arial" w:cs="Arial" w:eastAsia="Arial" w:hAnsi="Arial"/>
          <w:sz w:val="24"/>
          <w:szCs w:val="24"/>
        </w:rPr>
        <w:t xml:space="preserve">По графе 323 "Песцы" - учитывается общее количество песцов.</w:t>
      </w:r>
    </w:p>
    <w:p>
      <w:pPr>
        <w:spacing w:after="120"/>
        <w:jc w:val="both"/>
      </w:pPr>
      <w:r>
        <w:rPr>
          <w:rFonts w:ascii="Arial" w:cs="Arial" w:eastAsia="Arial" w:hAnsi="Arial"/>
          <w:sz w:val="24"/>
          <w:szCs w:val="24"/>
        </w:rPr>
        <w:t xml:space="preserve">По графе 324 "Норки" - учитывается общее количество норок.</w:t>
      </w:r>
    </w:p>
    <w:p>
      <w:pPr>
        <w:spacing w:after="120"/>
        <w:jc w:val="both"/>
      </w:pPr>
      <w:r>
        <w:rPr>
          <w:rFonts w:ascii="Arial" w:cs="Arial" w:eastAsia="Arial" w:hAnsi="Arial"/>
          <w:sz w:val="24"/>
          <w:szCs w:val="24"/>
        </w:rPr>
        <w:t xml:space="preserve">По графе 325 "Верблюды - всего" - учитывается поголовье верблюдов всех возрастов (верблюды-производители, верблюдицы, верблюжата до 2 лет, рабочие верблюды).</w:t>
      </w:r>
    </w:p>
    <w:p>
      <w:pPr>
        <w:spacing w:after="120"/>
        <w:jc w:val="both"/>
      </w:pPr>
      <w:r>
        <w:rPr>
          <w:rFonts w:ascii="Arial" w:cs="Arial" w:eastAsia="Arial" w:hAnsi="Arial"/>
          <w:sz w:val="24"/>
          <w:szCs w:val="24"/>
        </w:rPr>
        <w:t xml:space="preserve">По графе 326 "Ослы (ишаки, мулы)" - учитывается количество ослов (ишаков, мулов и лошаков) всех возрастов, имеющихся в хозяйстве.</w:t>
      </w:r>
    </w:p>
    <w:p>
      <w:pPr>
        <w:spacing w:after="120"/>
        <w:jc w:val="both"/>
      </w:pPr>
      <w:r>
        <w:rPr>
          <w:rFonts w:ascii="Arial" w:cs="Arial" w:eastAsia="Arial" w:hAnsi="Arial"/>
          <w:sz w:val="24"/>
          <w:szCs w:val="24"/>
        </w:rPr>
        <w:t xml:space="preserve">По графе 327 "Пчело-семьи" - учитывается число пчелиных семей (штук).</w:t>
      </w:r>
    </w:p>
    <w:p>
      <w:pPr>
        <w:spacing w:after="120"/>
        <w:jc w:val="both"/>
      </w:pPr>
      <w:r>
        <w:rPr>
          <w:rFonts w:ascii="Arial" w:cs="Arial" w:eastAsia="Arial" w:hAnsi="Arial"/>
          <w:sz w:val="24"/>
          <w:szCs w:val="24"/>
        </w:rPr>
        <w:t xml:space="preserve">По графе 328 "Куры и петухи - всего" - учитывается общее количество кур и петухов, включая молодняк.</w:t>
      </w:r>
    </w:p>
    <w:p>
      <w:pPr>
        <w:spacing w:after="120"/>
        <w:jc w:val="both"/>
      </w:pPr>
      <w:r>
        <w:rPr>
          <w:rFonts w:ascii="Arial" w:cs="Arial" w:eastAsia="Arial" w:hAnsi="Arial"/>
          <w:sz w:val="24"/>
          <w:szCs w:val="24"/>
        </w:rPr>
        <w:t xml:space="preserve">По графе 329 "в том числе куры-несушки" - учитывается количество взрослых кур-несушек (без молодняка), независимо от того, получают ли от них в данное время яйцо или нет.</w:t>
      </w:r>
    </w:p>
    <w:p>
      <w:pPr>
        <w:spacing w:after="120"/>
        <w:jc w:val="both"/>
      </w:pPr>
      <w:r>
        <w:rPr>
          <w:rFonts w:ascii="Arial" w:cs="Arial" w:eastAsia="Arial" w:hAnsi="Arial"/>
          <w:sz w:val="24"/>
          <w:szCs w:val="24"/>
        </w:rPr>
        <w:t xml:space="preserve">По графе 330 "гуси" - учитывается общее количество гусаков и гусынь всех пород с учетом молодняка.</w:t>
      </w:r>
    </w:p>
    <w:p>
      <w:pPr>
        <w:spacing w:after="120"/>
        <w:jc w:val="both"/>
      </w:pPr>
      <w:r>
        <w:rPr>
          <w:rFonts w:ascii="Arial" w:cs="Arial" w:eastAsia="Arial" w:hAnsi="Arial"/>
          <w:sz w:val="24"/>
          <w:szCs w:val="24"/>
        </w:rPr>
        <w:t xml:space="preserve">По графе 331 "утки" - учитывается общее количество селезней и уток всех пород с учетом молодняка.</w:t>
      </w:r>
    </w:p>
    <w:p>
      <w:pPr>
        <w:spacing w:after="120"/>
        <w:jc w:val="both"/>
      </w:pPr>
      <w:r>
        <w:rPr>
          <w:rFonts w:ascii="Arial" w:cs="Arial" w:eastAsia="Arial" w:hAnsi="Arial"/>
          <w:sz w:val="24"/>
          <w:szCs w:val="24"/>
        </w:rPr>
        <w:t xml:space="preserve">По графе 332 "индюки" - учитывается общее количество индюков и индюшек всех пород с учетом молодняка.</w:t>
      </w:r>
    </w:p>
    <w:p>
      <w:pPr>
        <w:spacing w:after="120"/>
        <w:jc w:val="both"/>
      </w:pPr>
      <w:r>
        <w:rPr>
          <w:rFonts w:ascii="Arial" w:cs="Arial" w:eastAsia="Arial" w:hAnsi="Arial"/>
          <w:sz w:val="24"/>
          <w:szCs w:val="24"/>
        </w:rPr>
        <w:t xml:space="preserve">По графе 333 "другие виды птицы" - учитывается общее количество других видов птицы имеющихся в хозяйстве с учетом молодняка (страусы, перепела, цесарки и др.).</w:t>
      </w:r>
    </w:p>
    <w:p>
      <w:pPr>
        <w:spacing w:after="120"/>
        <w:jc w:val="both"/>
      </w:pPr>
      <w:r>
        <w:rPr>
          <w:rFonts w:ascii="Arial" w:cs="Arial" w:eastAsia="Arial" w:hAnsi="Arial"/>
          <w:sz w:val="24"/>
          <w:szCs w:val="24"/>
        </w:rPr>
        <w:t xml:space="preserve">По графе 334 "Домашняя птица (взрослая и молодняк) - всего" - учитывается поголовье домашней птицы всех возрастов, включая кур и петухов, гусей, уток, индюков и других видов птицы, графа 334 = сумме граф (328+330+331+332+333).</w:t>
      </w:r>
    </w:p>
    <w:p>
      <w:pPr>
        <w:spacing w:after="120"/>
        <w:jc w:val="both"/>
      </w:pPr>
      <w:r>
        <w:rPr>
          <w:rFonts w:ascii="Arial" w:cs="Arial" w:eastAsia="Arial" w:hAnsi="Arial"/>
          <w:sz w:val="24"/>
          <w:szCs w:val="24"/>
        </w:rPr>
        <w:t xml:space="preserve">По графе 335 "Собаки" - учитывается общее количество собак, содержащихся в домохозяйстве.</w:t>
      </w:r>
    </w:p>
    <w:p>
      <w:pPr>
        <w:spacing w:after="120"/>
        <w:jc w:val="both"/>
      </w:pPr>
      <w:r>
        <w:rPr>
          <w:rFonts w:ascii="Arial" w:cs="Arial" w:eastAsia="Arial" w:hAnsi="Arial"/>
          <w:sz w:val="24"/>
          <w:szCs w:val="24"/>
        </w:rPr>
        <w:t xml:space="preserve">По графе 336 "Кошки" - учитывается общее количество кошек, содержащихся в домохозяйстве.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0kmnp_iuqapqq7soifw">
      <w:r>
        <w:rPr>
          <w:rFonts w:ascii="Arial" w:cs="Arial" w:eastAsia="Arial" w:hAnsi="Arial"/>
          <w:color w:val="132D3F"/>
          <w:sz w:val="16"/>
          <w:szCs w:val="16"/>
          <w:u w:val="single"/>
        </w:rPr>
        <w:t xml:space="preserve">dalil.kg/document/208034</w:t>
      </w:r>
    </w:hyperlink>
  </w:p>
  <w:p>
    <w:pPr>
      <w:spacing w:after="0" w:before="40"/>
      <w:jc w:val="center"/>
    </w:pPr>
    <w:hyperlink w:history="1" r:id="rIdov1plt6dqvvn_45cv1i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hgnsfwi7sfigsjm57ds" Type="http://schemas.openxmlformats.org/officeDocument/2006/relationships/hyperlink" Target="https://dalil.kg/document/208033" TargetMode="External"/><Relationship Id="rIdx0bsovto8jiy4v-gynii8" Type="http://schemas.openxmlformats.org/officeDocument/2006/relationships/hyperlink" Target="https://dalil.kg/document/202074" TargetMode="External"/><Relationship Id="rIdl4pb-bftm6l5kz_gcdg5i" Type="http://schemas.openxmlformats.org/officeDocument/2006/relationships/hyperlink" Target="https://dalil.kg/document/910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0kmnp_iuqapqq7soifw" Type="http://schemas.openxmlformats.org/officeDocument/2006/relationships/hyperlink" Target="https://dalil.kg/document/208034" TargetMode="External"/><Relationship Id="rIdov1plt6dqvvn_45cv1i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2026-10-05T17:15:01.804Z</dcterms:created>
  <dcterms:modified xsi:type="dcterms:W3CDTF">2026-10-05T17:15:01.804Z</dcterms:modified>
</cp:coreProperties>
</file>

<file path=docProps/custom.xml><?xml version="1.0" encoding="utf-8"?>
<Properties xmlns="http://schemas.openxmlformats.org/officeDocument/2006/custom-properties" xmlns:vt="http://schemas.openxmlformats.org/officeDocument/2006/docPropsVTypes"/>
</file>