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профессиональной подготовки и повышения квалификации управленческих кадров в рамках совместного проекта Академии управления при Президенте Кыргызской Республики и Фонда Ханнса Зайделя (ФРГ) «Повышение кадрового потенциала государственного управления и гражданского общества в государствах Центральной Азии»: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jhxpefgc0-masynv2d7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квоты</w:t>
        </w:r>
      </w:hyperlink>
      <w:r>
        <w:rPr>
          <w:rFonts w:ascii="Arial" w:cs="Arial" w:eastAsia="Arial" w:hAnsi="Arial"/>
          <w:sz w:val="24"/>
          <w:szCs w:val="24"/>
        </w:rPr>
        <w:t xml:space="preserve"> на зачисление слушателей по магистерским программам Академии управления при Президенте Кыргызской Республики на 2012-2014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ведомств, главам местных государственных администраций представить кандидатуры из числа ответственных сотрудников аппаратов органов государственного и муниципального управления для участия в конкурсном отборе на обучение в Академию управления при Президенте Кыргызской Республики (далее - Академия управления) по соответствующим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Жогорку Кенешу Кыргызской Республики направить кандидатуры из числа ответственных сотрудников аппарата для участия в конкурсном отборе на обучение в Академию управления по соответствующим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обеспечить организационное сопровождение мероприятий Академии управления по проведению приема слушателей на магистерские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мэриям городов Бишкек и Ош оказывать организационное содействие Академии управления в проведении приема слушателей на магистерские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Академии управления разработать квалификационные требования, предъявляемые к кандидатам для участия в конкурсном отборе на обучение, а также типовой договор о целевом обучении по магистерским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qrdkl8g3wvuqoaza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Квоты на зачисление слушателей по магистерским программам Академии управления при Президенте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1348"/>
        <w:gridCol w:w="1338"/>
        <w:gridCol w:w="1415"/>
        <w:gridCol w:w="1161"/>
        <w:gridCol w:w="1042"/>
        <w:gridCol w:w="1248"/>
        <w:gridCol w:w="1081"/>
        <w:gridCol w:w="1297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органов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«Государственное управление»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«Парламентаризм»</w:t>
            </w:r>
          </w:p>
        </w:tc>
        <w:tc>
          <w:tcPr>
            <w:tcW w:type="dxa" w:w="1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человеческими ресурсами (персоналом)»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«Социальный менеджмент»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в некоммерческих организациях»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«Менеджмент в образовании»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«Местное государственное управление и самоуправление»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форма обучения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форма обучения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госкомитеты, административные ведомства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270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l4ccubu5z-jedoso4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dalil.kg/document/209056</w:t>
      </w:r>
    </w:hyperlink>
  </w:p>
  <w:p>
    <w:pPr>
      <w:spacing w:after="0" w:before="40"/>
      <w:jc w:val="center"/>
    </w:pPr>
    <w:hyperlink w:history="1" r:id="rIdq6wsp5pflcpwikcuph2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xpefgc0-masynv2d7tj" Type="http://schemas.openxmlformats.org/officeDocument/2006/relationships/hyperlink" Target="https://dalil.kg/document/209056#&#1088;1" TargetMode="External"/><Relationship Id="rId-dqrdkl8g3wvuqoazauwm" Type="http://schemas.openxmlformats.org/officeDocument/2006/relationships/hyperlink" Target="https://dalil.kg/document/209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l4ccubu5z-jedoso4mr" Type="http://schemas.openxmlformats.org/officeDocument/2006/relationships/hyperlink" Target="https://dalil.kg/document/209056" TargetMode="External"/><Relationship Id="rIdq6wsp5pflcpwikcuph2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2026-09-24T23:06:33.101Z</dcterms:created>
  <dcterms:modified xsi:type="dcterms:W3CDTF">2026-09-24T23:06:33.101Z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