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Зарегистрировано  Управлением юстиции города Бишкек28 июля 2003 года. Регистрационный номер 5-03             БИШКЕКСКИЙ ГОРОДСКОЙ КЕНЕШ ДЕПУТАТОВ   от 9 июля 2003 года     ПОСТАНОВЛЕНИЕ № 188                                                          Об утверждении экономико-                   планировочных зон города Бишкек                  и коэффициентов к ним на 2003 год      На  основании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базовых  ставкахземельного  налога  за  пользование  сельскохозяйственными   угодьями,приусадебными  и  дачными  земельными  участками,  землями  населённыхпунктов   и  несельскохозяйственного  назначения  на  2002   год»,   всоответствии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от27.01.2003г.  № 29 «Об  утверждении  временного  Положения  о  порядкерасчёта и взимания земельного налога за пользование землями населённыхпунктов  и несельскохозяйственного назначения» и по предложению  мэриигорода Бишкек, Бишкекский городской Кенеш депутатов                                   ПОСТАНОВЛЯЕТ: 1.   Оставить без изменения границы экономико-планировочных зон городаБишкек,  утверждённые  постановлением  Бишкекского  городского  Кенешадепутатов от 31.01.2002г. №105 «Об утверждении экономико-планировочныхзон города Бишкек и временных коэффициентов к ним на 2002 год».2.   Утвердить коэффициенты экономико-планировочных зон города  Бишкекна  2003 год согласно</w:t>
      </w:r>
    </w:p>
    <w:p>
      <w:r>
        <w:rPr>
          <w:rFonts w:ascii="Arial" w:cs="Arial" w:eastAsia="Arial" w:hAnsi="Arial"/>
          <w:sz w:val="24"/>
          <w:szCs w:val="24"/>
        </w:rPr>
        <w:t xml:space="preserve">приложению</w:t>
      </w:r>
    </w:p>
    <w:p>
      <w:r>
        <w:rPr>
          <w:rFonts w:ascii="Arial" w:cs="Arial" w:eastAsia="Arial" w:hAnsi="Arial"/>
          <w:sz w:val="24"/>
          <w:szCs w:val="24"/>
        </w:rPr>
        <w:t xml:space="preserve">(прилагается).3.   Настоящее  постановление вступает в силу со дня  опубликования  исогласно  статье   46  Закона Кыргызской Республики   «О   нормативныхправовых    актах     Кыргызской   Республики»    положения    данногопостановления распространяются   на  расчеты по земельному  налогу   с01.01.2003г.4.   Отметить,  что  данный вопрос внесен Мэрией   города  Бишкек   нарассмотрение   сессии   Бишкекского  городского  Кенеша  депутатов  созначительным опозданием.5.  Мэрии города Бишкек:-       рассмотреть       ответственность       должностных       лиц,не  обеспечивших  своевременное представление данного вопроса;-    обеспечить публикацию данного постановления в средствах  массовойинформации;-   продолжить работу над совершенствованием подходов и принциповформирования экономико-планировочных зон, обратив особое внимание наэкономическую основу их образования.-   Информацию по  выполнению данного постановления  представить к  1сентября  2003года. 6.Контроль   за   исполнением  данного  постановления   возложить   напредседателя   постоянной  комиссии  Бишкекского   городского   Кенешадепутатов   по   экономике,   бюджету,  муниципальной   собственности,инвестициям,  предпринимательской деятельности  и  внешнеэкономическимсвязям Камчыбекова Т.К. и первого вице-мэра Слизовского А.П.   Председатель                                    З.Кыдыралиев</w:t>
      </w:r>
    </w:p>
    <w:p>
      <w:pPr>
        <w:spacing w:after="120"/>
        <w:ind w:firstLine="567"/>
        <w:jc w:val="both"/>
      </w:pPr>
      <w:r>
        <w:rPr>
          <w:rFonts w:ascii="Arial" w:cs="Arial" w:eastAsia="Arial" w:hAnsi="Arial"/>
          <w:sz w:val="20"/>
          <w:szCs w:val="20"/>
        </w:rPr>
        <w:t xml:space="preserve">Приложение</w:t>
      </w:r>
    </w:p>
    <w:p>
      <w:pPr>
        <w:spacing w:after="120"/>
        <w:ind w:firstLine="567"/>
        <w:jc w:val="both"/>
      </w:pPr>
      <w:r>
        <w:rPr>
          <w:rFonts w:ascii="Arial" w:cs="Arial" w:eastAsia="Arial" w:hAnsi="Arial"/>
          <w:sz w:val="20"/>
          <w:szCs w:val="20"/>
        </w:rPr>
        <w:t xml:space="preserve">                                       к </w:t>
      </w:r>
      <w:hyperlink w:history="1" r:id="rIdtnqpb6aaql1liihfle_yz">
        <w:r>
          <w:rPr>
            <w:rFonts w:ascii="Arial" w:cs="Arial" w:eastAsia="Arial" w:hAnsi="Arial"/>
            <w:color w:val="1D4ED8"/>
            <w:sz w:val="20"/>
            <w:szCs w:val="20"/>
            <w:u w:val="single"/>
          </w:rPr>
          <w:t xml:space="preserve">постановлению</w:t>
        </w:r>
      </w:hyperlink>
      <w:r>
        <w:rPr>
          <w:rFonts w:ascii="Arial" w:cs="Arial" w:eastAsia="Arial" w:hAnsi="Arial"/>
          <w:sz w:val="20"/>
          <w:szCs w:val="20"/>
        </w:rPr>
        <w:t xml:space="preserve"> Бишкекского</w:t>
      </w:r>
    </w:p>
    <w:p>
      <w:pPr>
        <w:spacing w:after="120"/>
        <w:ind w:firstLine="567"/>
        <w:jc w:val="both"/>
      </w:pPr>
      <w:r>
        <w:rPr>
          <w:rFonts w:ascii="Arial" w:cs="Arial" w:eastAsia="Arial" w:hAnsi="Arial"/>
          <w:sz w:val="20"/>
          <w:szCs w:val="20"/>
        </w:rPr>
        <w:t xml:space="preserve">                                       городского Кенеша депутатов</w:t>
      </w:r>
    </w:p>
    <w:p>
      <w:pPr>
        <w:spacing w:after="120"/>
        <w:ind w:firstLine="567"/>
        <w:jc w:val="both"/>
      </w:pPr>
      <w:r>
        <w:rPr>
          <w:rFonts w:ascii="Arial" w:cs="Arial" w:eastAsia="Arial" w:hAnsi="Arial"/>
          <w:sz w:val="20"/>
          <w:szCs w:val="20"/>
        </w:rPr>
        <w:t xml:space="preserve">                                       от 9 июля 2003 года N 188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                          КОЭФФИЦИЕНТЫ</w:t>
      </w:r>
    </w:p>
    <w:p>
      <w:pPr>
        <w:spacing w:after="120"/>
        <w:ind w:firstLine="567"/>
        <w:jc w:val="both"/>
      </w:pPr>
      <w:r>
        <w:rPr>
          <w:rFonts w:ascii="Arial" w:cs="Arial" w:eastAsia="Arial" w:hAnsi="Arial"/>
          <w:sz w:val="20"/>
          <w:szCs w:val="20"/>
        </w:rPr>
        <w:t xml:space="preserve">             экономико-планировочных зон города Бишкек</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Индексы зон          │             Коэффициенты          │</w:t>
      </w:r>
    </w:p>
    <w:p>
      <w:pPr>
        <w:spacing w:after="120"/>
        <w:jc w:val="both"/>
      </w:pPr>
      <w:r>
        <w:rPr>
          <w:rFonts w:ascii="Arial" w:cs="Arial" w:eastAsia="Arial" w:hAnsi="Arial"/>
          <w:sz w:val="20"/>
          <w:szCs w:val="20"/>
        </w:rPr>
        <w:t xml:space="preserve">├─────────────────────────────────┼───────────────────────────────────┤</w:t>
      </w:r>
    </w:p>
    <w:p>
      <w:pPr>
        <w:spacing w:after="120"/>
        <w:jc w:val="both"/>
      </w:pPr>
      <w:r>
        <w:rPr>
          <w:rFonts w:ascii="Arial" w:cs="Arial" w:eastAsia="Arial" w:hAnsi="Arial"/>
          <w:sz w:val="20"/>
          <w:szCs w:val="20"/>
        </w:rPr>
        <w:t xml:space="preserve">│             I                   │                2,0                │</w:t>
      </w:r>
    </w:p>
    <w:p>
      <w:pPr>
        <w:spacing w:after="120"/>
        <w:jc w:val="both"/>
      </w:pPr>
      <w:r>
        <w:rPr>
          <w:rFonts w:ascii="Arial" w:cs="Arial" w:eastAsia="Arial" w:hAnsi="Arial"/>
          <w:sz w:val="20"/>
          <w:szCs w:val="20"/>
        </w:rPr>
        <w:t xml:space="preserve">│             II                  │                1,75               │</w:t>
      </w:r>
    </w:p>
    <w:p>
      <w:pPr>
        <w:spacing w:after="120"/>
        <w:jc w:val="both"/>
      </w:pPr>
      <w:r>
        <w:rPr>
          <w:rFonts w:ascii="Arial" w:cs="Arial" w:eastAsia="Arial" w:hAnsi="Arial"/>
          <w:sz w:val="20"/>
          <w:szCs w:val="20"/>
        </w:rPr>
        <w:t xml:space="preserve">│             III                 │                1,45               │</w:t>
      </w:r>
    </w:p>
    <w:p>
      <w:pPr>
        <w:spacing w:after="120"/>
        <w:jc w:val="both"/>
      </w:pPr>
      <w:r>
        <w:rPr>
          <w:rFonts w:ascii="Arial" w:cs="Arial" w:eastAsia="Arial" w:hAnsi="Arial"/>
          <w:sz w:val="20"/>
          <w:szCs w:val="20"/>
        </w:rPr>
        <w:t xml:space="preserve">│             IV                  │                1,6                │</w:t>
      </w:r>
    </w:p>
    <w:p>
      <w:pPr>
        <w:spacing w:after="120"/>
        <w:jc w:val="both"/>
      </w:pPr>
      <w:r>
        <w:rPr>
          <w:rFonts w:ascii="Arial" w:cs="Arial" w:eastAsia="Arial" w:hAnsi="Arial"/>
          <w:sz w:val="20"/>
          <w:szCs w:val="20"/>
        </w:rPr>
        <w:t xml:space="preserve">│             V                   │                1,6                │</w:t>
      </w:r>
    </w:p>
    <w:p>
      <w:pPr>
        <w:spacing w:after="120"/>
        <w:jc w:val="both"/>
      </w:pPr>
      <w:r>
        <w:rPr>
          <w:rFonts w:ascii="Arial" w:cs="Arial" w:eastAsia="Arial" w:hAnsi="Arial"/>
          <w:sz w:val="20"/>
          <w:szCs w:val="20"/>
        </w:rPr>
        <w:t xml:space="preserve">│             VI                  │                1,6                │</w:t>
      </w:r>
    </w:p>
    <w:p>
      <w:pPr>
        <w:spacing w:after="120"/>
        <w:jc w:val="both"/>
      </w:pPr>
      <w:r>
        <w:rPr>
          <w:rFonts w:ascii="Arial" w:cs="Arial" w:eastAsia="Arial" w:hAnsi="Arial"/>
          <w:sz w:val="20"/>
          <w:szCs w:val="20"/>
        </w:rPr>
        <w:t xml:space="preserve">│             VII                 │                1,75               │</w:t>
      </w:r>
    </w:p>
    <w:p>
      <w:pPr>
        <w:spacing w:after="120"/>
        <w:jc w:val="both"/>
      </w:pPr>
      <w:r>
        <w:rPr>
          <w:rFonts w:ascii="Arial" w:cs="Arial" w:eastAsia="Arial" w:hAnsi="Arial"/>
          <w:sz w:val="20"/>
          <w:szCs w:val="20"/>
        </w:rPr>
        <w:t xml:space="preserve">│             VIII                │                1,3                │</w:t>
      </w:r>
    </w:p>
    <w:p>
      <w:pPr>
        <w:spacing w:after="120"/>
        <w:jc w:val="both"/>
      </w:pPr>
      <w:r>
        <w:rPr>
          <w:rFonts w:ascii="Arial" w:cs="Arial" w:eastAsia="Arial" w:hAnsi="Arial"/>
          <w:sz w:val="20"/>
          <w:szCs w:val="20"/>
        </w:rPr>
        <w:t xml:space="preserve">│             IX                  │                1,3                │</w:t>
      </w:r>
    </w:p>
    <w:p>
      <w:pPr>
        <w:spacing w:after="120"/>
        <w:jc w:val="both"/>
      </w:pPr>
      <w:r>
        <w:rPr>
          <w:rFonts w:ascii="Arial" w:cs="Arial" w:eastAsia="Arial" w:hAnsi="Arial"/>
          <w:sz w:val="20"/>
          <w:szCs w:val="20"/>
        </w:rPr>
        <w:t xml:space="preserve">│             X                   │                1,3                │</w:t>
      </w:r>
    </w:p>
    <w:p>
      <w:pPr>
        <w:spacing w:after="120"/>
        <w:jc w:val="both"/>
      </w:pPr>
      <w:r>
        <w:rPr>
          <w:rFonts w:ascii="Arial" w:cs="Arial" w:eastAsia="Arial" w:hAnsi="Arial"/>
          <w:sz w:val="20"/>
          <w:szCs w:val="20"/>
        </w:rPr>
        <w:t xml:space="preserve">│             XI                  │                1,45               │</w:t>
      </w:r>
    </w:p>
    <w:p>
      <w:pPr>
        <w:spacing w:after="120"/>
        <w:jc w:val="both"/>
      </w:pPr>
      <w:r>
        <w:rPr>
          <w:rFonts w:ascii="Arial" w:cs="Arial" w:eastAsia="Arial" w:hAnsi="Arial"/>
          <w:sz w:val="20"/>
          <w:szCs w:val="20"/>
        </w:rPr>
        <w:t xml:space="preserve">│             XII                 │                1,0                │</w:t>
      </w:r>
    </w:p>
    <w:p>
      <w:pPr>
        <w:spacing w:after="120"/>
        <w:jc w:val="both"/>
      </w:pPr>
      <w:r>
        <w:rPr>
          <w:rFonts w:ascii="Arial" w:cs="Arial" w:eastAsia="Arial" w:hAnsi="Arial"/>
          <w:sz w:val="20"/>
          <w:szCs w:val="20"/>
        </w:rPr>
        <w:t xml:space="preserve">│             XIII                │                1,3                │</w:t>
      </w:r>
    </w:p>
    <w:p>
      <w:pPr>
        <w:spacing w:after="120"/>
        <w:jc w:val="both"/>
      </w:pPr>
      <w:r>
        <w:rPr>
          <w:rFonts w:ascii="Arial" w:cs="Arial" w:eastAsia="Arial" w:hAnsi="Arial"/>
          <w:sz w:val="20"/>
          <w:szCs w:val="20"/>
        </w:rPr>
        <w:t xml:space="preserve">│             XIV                 │                1,3                │</w:t>
      </w:r>
    </w:p>
    <w:p>
      <w:pPr>
        <w:spacing w:after="120"/>
        <w:jc w:val="both"/>
      </w:pPr>
      <w:r>
        <w:rPr>
          <w:rFonts w:ascii="Arial" w:cs="Arial" w:eastAsia="Arial" w:hAnsi="Arial"/>
          <w:sz w:val="20"/>
          <w:szCs w:val="20"/>
        </w:rPr>
        <w:t xml:space="preserve">│             XV                  │                1,0                │</w:t>
      </w:r>
    </w:p>
    <w:p>
      <w:pPr>
        <w:spacing w:after="120"/>
        <w:jc w:val="both"/>
      </w:pPr>
      <w:r>
        <w:rPr>
          <w:rFonts w:ascii="Arial" w:cs="Arial" w:eastAsia="Arial" w:hAnsi="Arial"/>
          <w:sz w:val="20"/>
          <w:szCs w:val="20"/>
        </w:rPr>
        <w:t xml:space="preserve">│             XVI                 │                1,3                │</w:t>
      </w:r>
    </w:p>
    <w:p>
      <w:pPr>
        <w:spacing w:after="120"/>
        <w:jc w:val="both"/>
      </w:pPr>
      <w:r>
        <w:rPr>
          <w:rFonts w:ascii="Arial" w:cs="Arial" w:eastAsia="Arial" w:hAnsi="Arial"/>
          <w:sz w:val="20"/>
          <w:szCs w:val="20"/>
        </w:rPr>
        <w:t xml:space="preserve">│             XVII                │                1,0                │</w:t>
      </w:r>
    </w:p>
    <w:p>
      <w:pPr>
        <w:spacing w:after="120"/>
        <w:jc w:val="both"/>
      </w:pPr>
      <w:r>
        <w:rPr>
          <w:rFonts w:ascii="Arial" w:cs="Arial" w:eastAsia="Arial" w:hAnsi="Arial"/>
          <w:sz w:val="20"/>
          <w:szCs w:val="20"/>
        </w:rPr>
        <w:t xml:space="preserve">│             XVIII               │                1,3                │</w:t>
      </w:r>
    </w:p>
    <w:p>
      <w:pPr>
        <w:spacing w:after="120"/>
        <w:jc w:val="both"/>
      </w:pPr>
      <w:r>
        <w:rPr>
          <w:rFonts w:ascii="Arial" w:cs="Arial" w:eastAsia="Arial" w:hAnsi="Arial"/>
          <w:sz w:val="20"/>
          <w:szCs w:val="20"/>
        </w:rPr>
        <w:t xml:space="preserve">│             XIX                 │                1,0                │</w:t>
      </w:r>
    </w:p>
    <w:p>
      <w:pPr>
        <w:spacing w:after="120"/>
        <w:jc w:val="both"/>
      </w:pPr>
      <w:r>
        <w:rPr>
          <w:rFonts w:ascii="Arial" w:cs="Arial" w:eastAsia="Arial" w:hAnsi="Arial"/>
          <w:sz w:val="20"/>
          <w:szCs w:val="20"/>
        </w:rPr>
        <w:t xml:space="preserve">│             XX                  │                1,0                │</w:t>
      </w:r>
    </w:p>
    <w:p>
      <w:pPr>
        <w:spacing w:after="120"/>
        <w:jc w:val="both"/>
      </w:pPr>
      <w:r>
        <w:rPr>
          <w:rFonts w:ascii="Arial" w:cs="Arial" w:eastAsia="Arial" w:hAnsi="Arial"/>
          <w:sz w:val="20"/>
          <w:szCs w:val="20"/>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Руководитель аппарата Бишкекского</w:t>
      </w:r>
    </w:p>
    <w:p>
      <w:pPr>
        <w:spacing w:after="120"/>
        <w:ind w:firstLine="567"/>
        <w:jc w:val="both"/>
      </w:pPr>
      <w:r>
        <w:rPr>
          <w:rFonts w:ascii="Arial" w:cs="Arial" w:eastAsia="Arial" w:hAnsi="Arial"/>
          <w:sz w:val="20"/>
          <w:szCs w:val="20"/>
        </w:rPr>
        <w:t xml:space="preserve">городского 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uao8n326rjuz1ojkpph">
      <w:r>
        <w:rPr>
          <w:rFonts w:ascii="Arial" w:cs="Arial" w:eastAsia="Arial" w:hAnsi="Arial"/>
          <w:color w:val="132D3F"/>
          <w:sz w:val="16"/>
          <w:szCs w:val="16"/>
          <w:u w:val="single"/>
        </w:rPr>
        <w:t xml:space="preserve">dalil.kg/document/21152</w:t>
      </w:r>
    </w:hyperlink>
  </w:p>
  <w:p>
    <w:pPr>
      <w:spacing w:after="0" w:before="40"/>
      <w:jc w:val="center"/>
    </w:pPr>
    <w:hyperlink w:history="1" r:id="rIdfj8hjl4wehhm6tdgcys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qpb6aaql1liihfle_yz" Type="http://schemas.openxmlformats.org/officeDocument/2006/relationships/hyperlink" Target="https://dalil.kg/document/211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uao8n326rjuz1ojkpph" Type="http://schemas.openxmlformats.org/officeDocument/2006/relationships/hyperlink" Target="https://dalil.kg/document/21152" TargetMode="External"/><Relationship Id="rIdfj8hjl4wehhm6tdgcys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2026-10-01T04:40:11.161Z</dcterms:created>
  <dcterms:modified xsi:type="dcterms:W3CDTF">2026-10-01T04:40:11.161Z</dcterms:modified>
</cp:coreProperties>
</file>

<file path=docProps/custom.xml><?xml version="1.0" encoding="utf-8"?>
<Properties xmlns="http://schemas.openxmlformats.org/officeDocument/2006/custom-properties" xmlns:vt="http://schemas.openxmlformats.org/officeDocument/2006/docPropsVTypes"/>
</file>