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2023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qjf9mqt65x8zlk7qus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mre17vd4dm_voqdatui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"Об интеллектуальных правах", инициированный депутатами Жогорку Кенеша Кыргызской Республики А.А.Исраиловым, Н.Я.Алимжановой, Ы.Ы.Атажановым, З.Д.Мамасадыковым, Э.Н.Сулаймановым 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</w:t>
      </w:r>
      <w:r>
        <w:rPr>
          <w:rFonts w:ascii="Arial" w:cs="Arial" w:eastAsia="Arial" w:hAnsi="Arial"/>
          <w:sz w:val="28"/>
          <w:szCs w:val="28"/>
        </w:rPr>
        <w:t xml:space="preserve">аключение</w:t>
      </w:r>
      <w:r>
        <w:rPr>
          <w:rFonts w:ascii="Arial" w:cs="Arial" w:eastAsia="Arial" w:hAnsi="Arial"/>
          <w:sz w:val="28"/>
          <w:szCs w:val="28"/>
        </w:rPr>
        <w:t xml:space="preserve">
 Кабинета Министров Кыргызской Республики на проект Закона Кыргызской Республики "Об интеллектуальных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(далее - Кабинет Министров) в соответствии со </w:t>
      </w:r>
      <w:hyperlink w:history="1" r:id="rIdtg8c7cmltgpruer_oqw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"Об интеллектуальных правах", инициированный депутатами Жогорку Кенеша Кыргызской Республики А.А.Исраиловым, Н.Я.Алимжановой, Ы.Ы.Атажановым, З.Д.Мамасадыковым, Э.Н.Сулаймановым и Ж.К.Акаевым (далее - проект Закона),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Закона заявлена комплексная модернизация национальной системы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Предлагаемый проект Закона состоит из 9 глав и 51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представленному проекту Закона в главе 6 взамен существующей в стране системе интеллектуальной собственности (далее - ИС), соответствующей международным стандартам, предлагается сложная структура институтов обеспечения прав интеллектуальной собственности,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Государственного агентства ИС - органа, ответственного за разработку нормативных правовых актов в области ИС, при этом лишив его правоприменительной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оператора патентных прав - экспертной организации, при этом согласно статье 11 законопроекта оператор сам не проводит экспертизу, а привлекает специалистов и/или организации, т.е. заявки рассматриваются сторонними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оператора по выплатам справедливого вознаграждения за отдельные виды использования произведений и иных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аттестованных депозитариев произведений и иных объектов с приданием им статуса "государственные";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организаций по коллективному управлению интеллектуальными правами;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Национального фонда поощрения творческой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предложенной структуры, состоящей из 4-х и более элементов с разрозненными функциями и неясным статусом приведет к разрушению системы, которая планомерно строилась за все время существования патентного ведомства. Более того, это приведет к подрыву репутации Кыргызской Республики на международной арене и нанесет непоправимый ущерб интересам бизнеса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Кыргызпатент как патентное ведомство прошел данный этап децентрализованной инфраструктуры еще в начале 1990-х годов, затем в марте 1996 года было создано Государственное агентство интеллектуальной собственности при Правительстве Кыргызской Республики (Кыргызпатент) на базе нескольких разрозненных структур в области ИС, резко сократив расходы на содержание управленческого и обслуживающего персонала и материально-техническое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такого проекта Закона дезорганизуется работа государственных органов как системы охраны и защиты ИС, значительно повысятся расходы бюджета на реорганизацию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концептуально не продуман с точки зрения 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целесообразности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оправданности возможных финансовых, материальных, временных и организационных затрат, необходимых для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соответствия общей системе законодательства Кыргызской Республики в контексте системности, непротиворечия иным законодательным актам и международным договорам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законопроекте не конкретизированы режим и принципы предоставления правовой охраны различным объектам 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ИС имеют существенные различия в зависимости от правовых режимов, оснований предоставления правовой охраны, объемов исключительных прав правообладателя, сроков правовой охраны, условий их использования, мер защиты и т.п. Ввиду этого возникает необходимость регулирования видов объектов ИС отдельными отраслевыми законами, что в действующем законодательстве Кыргызской Республики строго систематизировано и регламентировано.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действующее национальное законодательство в области охраны и защиты интеллектуальной собственности состоит из положений, установленных Гражданским </w:t>
      </w:r>
      <w:hyperlink w:history="1" r:id="rId3c2dgzu0s_wuvg8wxpi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11 специальных отраслевых законов, </w:t>
      </w:r>
      <w:hyperlink w:history="1" r:id="rIdbe-7ftnjzamwgkhiicf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Уголовного </w:t>
      </w:r>
      <w:hyperlink w:history="1" r:id="rIdazoggaufyzftla3pfok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4tamzolfiij7s1oitws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Бюджетного </w:t>
      </w:r>
      <w:hyperlink w:history="1" r:id="rIdyfblh11hm0fs_zbygke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gllv91wyzkbadvpprv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существует международное законодательство в области интеллектуальной собственности, вступившее в установленном законами и другими нормативными правовыми актами Кыргызской Республики порядке в силу 25 международных договоров, в рамках которых приняты обязательства, взятые Кыргызской Республикой в области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Предложенные в проекте Закона новые понятия "интеллектуальные права", "сиротские произведения" и "дизайн-образец" не предусмотрены ни в одном международном договоре и национальном законодательстве Кыргызской Республики в области интеллектуальной собственности и явным образом противоречат таким фундаментальным понятиям, принятым в международном праве, как "интеллектуальная собственность" и "права интеллектуальной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проект Закона не содержит нормы в отношении таких важных институтов как патентные поверенные, государственные патентные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проект Закона направлен на точечное регулирование некоторых объектов ИС, тогда как перечень видов объектов ИС значительно шире.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проект Закона не содержит положений о мерах по защите прав на объекты интеллектуальной собственности, отсутствие последних будет являться невыполнением обязательств, взятых в рамках присоединения к международным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Закона противоречит осуществлению решения задач сотрудничества с Евразийским экономическим союзом по гармонизации законодательства государств-членов в сфере охраны и защиты прав на объекты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проект Закона противоречит осуществлению решения задач сотрудничества с Евразийской патентной организацией по вопросам предоставления правовой региональной охраны изобретений и промышленных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тому же принятие предложенного проекта Закона, не соответствующего основным положениям международных договоров, администрируемых Всемирной организацией интеллектуальной собственности (ВОИС), участницей которых является Кыргызская Республика, приведет к непредсказуемым последствиям в сложившихся отношениях Кыргызской Республики с данной международной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Кыргызпатент является администратором средств, поступающих в республиканский бюджет в виде патентных пошлин и сборов за регистрацию и предоставление охраны объектам интеллектуальной собственности от местных и иностранных заявителей, установленных законодательством Кыргызской Республики, а также поступающих в соответствии с Мадридским соглашением о международной регистрации знаков, Протоколом к Мадридскому соглашению о международной регистрации знаков, Гаагским соглашением о международном депонировании промышленных образцов пошлин за проведение экспертизы и других юридически значимых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пошлины, поступающие в соответствии с Мадридским соглашением о международной регистрации знаков, Протоколом к Мадридскому соглашению о международной регистрации знаков, Гаагским соглашением о международном депонировании промышленных образцов, зачисляются на аккумуляционный счет Кыргызпатента, а пошлины от местных и иностранных заявителей поступают на депозитный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средства специального счета Кыргызпатента формируются за счет средств, поступивших в соответствии с Порядком перечисления Евразийским патентным ведомством долей пошлин, принадлежащих национальным патентным ведомствам, за поддержание в силе евразийских патентов на территориях государств-участников Евразийской патентной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Евразийской патентной конвенции, ратифицированной постановлением Жогорку Кенеша Кыргызской Республики от 27 сентября 1995 года № 213-1, все пошлины за поддержание евразийского патента в силе уплачиваются Евразийскому ведомству. Соотношение долей распределения пошлин за поддержание евразийского патента в силе между Организацией и указанными Договаривающимися государствами устанавливается Административным советом большинством в две трети голосов при условии, что не менее одной пятой от размера пошлины, полученной за каждое указанное патентовладельцем Договаривающееся государство, принадлежит Организации; оставшаяся часть этой пошлины переводится национальному ведомству указанного Договаривающегося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доходы республиканского бюджета по патентным пошлинам составили в общей сложности 288,8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Кыргызпатент финансируется из республиканского бюджета и средств специального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представленном проекте Закона предлагается создать вместо Государственного агентства интеллектуальной собственности и инноваций при Кабинете Министров Кыргызской Республики (Кыргызпатент) несколько организаций, по которым не определены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справке-обосновании проекта указано, что принятие проекта Закона не повлечет за собой дополнительных финансовых затрат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предусматривается передача функций интеллектуальной собственности частным организациям, при этом непонятно кто будет администратором пошлины и будут ли поступать в бюджет, а также на специальный счет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пошлины и сборы поступать в доход бюджета не будут, то возможны выпадения по доходам и на содержание Кыргызпатента потребуется дополнительные расходы, на которые не определены источники.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представленном проекте Закона статья 37 "Оператор патентных прав" предусматривает, что за услуги, предоставляемые оператором патентных прав, а также за поддержание патентного права, права на средства индивидуализации может взиматься плата, предельный размер, сроки и периодичность уплаты которой устанавливаются Кабинетом Министров Кыргызской Республики.</w:t>
      </w:r>
    </w:p>
    <w:p>
      <w:pPr>
        <w:spacing w:after="120"/>
        <w:jc w:val="both"/>
      </w:pPr>
      <w:hyperlink w:history="1" r:id="rIddwdpvprgsi_nu_auwqg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144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 устанавливает, что патентные и иные пошлины, сборы - плата за предоставление исключительного права на объекты интеллектуальной собственности, традиционные знания, совершение иных, установленных настоящим Кодексом юридически значимых действий, связанных с охраной объектов интеллектуальной собственности, аттестации и регистрации патентных поверенных.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предложенного проекта Закона приведет к недопоступлению средств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принятие данного законопроекта противоречит </w:t>
      </w:r>
      <w:hyperlink w:history="1" r:id="rIdpteirepamebnz-qf6to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</w:t>
      </w:r>
      <w:hyperlink w:history="1" r:id="rIdupiaaapyxny8rvthzen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поскольку государственная патентная пошлина является источником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принятие представленного проекта Закона может привести к возможным финансовым затратам и недопоступлению в бюджет государства (ежегодное поступление в доход республиканского бюджета в настоящее время в среднем составляет 159,0 млн. сом. (2022 год)), а также утрате доверия и потере имиджа на международном уровне в рамках реализации международных договоров, администрируемых ВОИС.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проектом Закона предлагается признание утратившими силу основных отраслевых законов Кыргызской Республики: "Патентный закон" </w:t>
      </w:r>
      <w:hyperlink w:history="1" r:id="rIdjfmfnsdgxowixdv7qlb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1998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, "О товарных знаках, знаках обслуживания и наименованиях мест происхождения товаров" </w:t>
      </w:r>
      <w:hyperlink w:history="1" r:id="rIdssdc62c-tmvclqoatms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1998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; "Об авторском праве и смежных правах" </w:t>
      </w:r>
      <w:hyperlink w:history="1" r:id="rIdyw2qcub-ggo1c-h--gy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1998 года № 6</w:t>
        </w:r>
      </w:hyperlink>
      <w:r>
        <w:rPr>
          <w:rFonts w:ascii="Arial" w:cs="Arial" w:eastAsia="Arial" w:hAnsi="Arial"/>
          <w:sz w:val="24"/>
          <w:szCs w:val="24"/>
        </w:rPr>
        <w:t xml:space="preserve">, "О служебных изобретениях, полезных моделях, промышленных образцах" </w:t>
      </w:r>
      <w:hyperlink w:history="1" r:id="rId4ca4cm9m5tlgyqdldc-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июля 1999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"О правовой охране программ для ЭВМ и баз данных" </w:t>
      </w:r>
      <w:hyperlink w:history="1" r:id="rIdt8vissbe8s7qfddgahm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1998 года № 328</w:t>
        </w:r>
      </w:hyperlink>
      <w:r>
        <w:rPr>
          <w:rFonts w:ascii="Arial" w:cs="Arial" w:eastAsia="Arial" w:hAnsi="Arial"/>
          <w:sz w:val="24"/>
          <w:szCs w:val="24"/>
        </w:rPr>
        <w:t xml:space="preserve">, "О правовой охране топологий интегральных микросхем" </w:t>
      </w:r>
      <w:hyperlink w:history="1" r:id="rIdu-1jjdbz7ptbn4_-jxf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марта 1998 года № 329</w:t>
        </w:r>
      </w:hyperlink>
      <w:r>
        <w:rPr>
          <w:rFonts w:ascii="Arial" w:cs="Arial" w:eastAsia="Arial" w:hAnsi="Arial"/>
          <w:sz w:val="24"/>
          <w:szCs w:val="24"/>
        </w:rPr>
        <w:t xml:space="preserve"> и "О секретных изобретениях" </w:t>
      </w:r>
      <w:hyperlink w:history="1" r:id="rIdphafwqz8dgl359qg3zs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марта 2006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данное положение проекта Закона явным образом противоречит </w:t>
      </w:r>
      <w:hyperlink w:history="1" r:id="rIdb27iz7jv-rtbq0u06zm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инвентаризации законодательства Кыргызской Республики" от 8 февраля 2021 года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инвентаризации приняты Жогорку Кенешем Кыргызской Республики и подписаны Президентом Кыргызской Республики С.Н.Жапаровым в новой редакции законы Кыргызской Республики "</w:t>
      </w:r>
      <w:hyperlink w:history="1" r:id="rIdhjm3l7vqb9lekd3e2xd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0unob388zfppesmipj1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обслуживания, географических указаний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", внесены изменения в законы Кыргызской Республики "</w:t>
      </w:r>
      <w:hyperlink w:history="1" r:id="rIdmz-uwxozsunpva4mou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авторском праве и смежных правах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miw8l8jkgutdy6fyd4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служебных изобретениях, полезных моделях, промышленных образцах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xhflfjs1mjr0_cxqtb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топологий интегральных микросхем</w:t>
        </w:r>
      </w:hyperlink>
      <w:r>
        <w:rPr>
          <w:rFonts w:ascii="Arial" w:cs="Arial" w:eastAsia="Arial" w:hAnsi="Arial"/>
          <w:sz w:val="24"/>
          <w:szCs w:val="24"/>
        </w:rPr>
        <w:t xml:space="preserve">", а </w:t>
      </w:r>
      <w:hyperlink w:history="1" r:id="rIddhm8cnlfsx_pfnhz1rd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программ для электронных вычислительных машин и баз данных" признан утратившим силу, с интеграцией норм указанного Закона в </w:t>
      </w:r>
      <w:hyperlink w:history="1" r:id="rIdgl4r4gxjgutcs3pafr3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также отметить, что утрата вышеперечисленных законов Кыргызской Республики создаст правовой вакуум по охране объектов интеллектуальной собственности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отметить, что системе интеллектуальной собственности в Кыргызской Республике 30 лет, действующее законодательство в полной мере отвечает требованиям международного законодательства и реалиям нынешнего времени. Действующая система законов тесно взаимосвязана, логически выстроена и четко определяет экономические, правовые аспекты в области интеллектуальной собственности, определяет институт как охраны интеллектуальной собственности, так и институт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Предложенный законопроект приводит к разбалансировке и рассинхронизации вышеотмеченной логической структуры и всех системных процессов делопроизводства по объектам ИС как в плане реализации норм национального законодательства так и международных договоров в области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при цифровизации предложенной проектом Закона схемы функционирования системы интеллектуальной собственности потребуются значительные затраты из средств республиканского бюджета, а также представленная сложная структура не обеспечит надежного функционирования системы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Закона повлечет негативные социальные, экономические, правовые и правозащитные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нецелесообразным принятие предлагаемого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znxjrvc4prh--_woc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dalil.kg/document/213716</w:t>
      </w:r>
    </w:hyperlink>
  </w:p>
  <w:p>
    <w:pPr>
      <w:spacing w:after="0" w:before="40"/>
      <w:jc w:val="center"/>
    </w:pPr>
    <w:hyperlink w:history="1" r:id="rIdraholpn5o7sdznwrkls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jf9mqt65x8zlk7qusdj" Type="http://schemas.openxmlformats.org/officeDocument/2006/relationships/hyperlink" Target="https://dalil.kg/document/112301#st_27" TargetMode="External"/><Relationship Id="rIdmre17vd4dm_voqdatuifx" Type="http://schemas.openxmlformats.org/officeDocument/2006/relationships/hyperlink" Target="https://dalil.kg/document/213716#z" TargetMode="External"/><Relationship Id="rIdtg8c7cmltgpruer_oqw1g" Type="http://schemas.openxmlformats.org/officeDocument/2006/relationships/hyperlink" Target="https://dalil.kg/document/112301#st_27" TargetMode="External"/><Relationship Id="rId3c2dgzu0s_wuvg8wxpi29" Type="http://schemas.openxmlformats.org/officeDocument/2006/relationships/hyperlink" Target="https://dalil.kg/document/4" TargetMode="External"/><Relationship Id="rIdbe-7ftnjzamwgkhiicfqr" Type="http://schemas.openxmlformats.org/officeDocument/2006/relationships/hyperlink" Target="https://dalil.kg/document/112306" TargetMode="External"/><Relationship Id="rIdazoggaufyzftla3pfokaz" Type="http://schemas.openxmlformats.org/officeDocument/2006/relationships/hyperlink" Target="https://dalil.kg/document/112309" TargetMode="External"/><Relationship Id="rId4tamzolfiij7s1oitwsax" Type="http://schemas.openxmlformats.org/officeDocument/2006/relationships/hyperlink" Target="https://dalil.kg/document/111820" TargetMode="External"/><Relationship Id="rIdyfblh11hm0fs_zbygkeh5" Type="http://schemas.openxmlformats.org/officeDocument/2006/relationships/hyperlink" Target="https://dalil.kg/document/111338" TargetMode="External"/><Relationship Id="rIdqgllv91wyzkbadvpprvw2" Type="http://schemas.openxmlformats.org/officeDocument/2006/relationships/hyperlink" Target="https://dalil.kg/document/111908" TargetMode="External"/><Relationship Id="rIddwdpvprgsi_nu_auwqg2c" Type="http://schemas.openxmlformats.org/officeDocument/2006/relationships/hyperlink" Target="https://dalil.kg/document/111820#st_144" TargetMode="External"/><Relationship Id="rIdpteirepamebnz-qf6tok2" Type="http://schemas.openxmlformats.org/officeDocument/2006/relationships/hyperlink" Target="https://dalil.kg/document/111338#st_47" TargetMode="External"/><Relationship Id="rIdupiaaapyxny8rvthzenyc" Type="http://schemas.openxmlformats.org/officeDocument/2006/relationships/hyperlink" Target="https://dalil.kg/document/111820#st_153" TargetMode="External"/><Relationship Id="rIdjfmfnsdgxowixdv7qlb31" Type="http://schemas.openxmlformats.org/officeDocument/2006/relationships/hyperlink" Target="https://dalil.kg/document/19" TargetMode="External"/><Relationship Id="rIdssdc62c-tmvclqoatmsuv" Type="http://schemas.openxmlformats.org/officeDocument/2006/relationships/hyperlink" Target="https://dalil.kg/document/18" TargetMode="External"/><Relationship Id="rIdyw2qcub-ggo1c-h--gy11" Type="http://schemas.openxmlformats.org/officeDocument/2006/relationships/hyperlink" Target="https://dalil.kg/document/17" TargetMode="External"/><Relationship Id="rId4ca4cm9m5tlgyqdldc-ni" Type="http://schemas.openxmlformats.org/officeDocument/2006/relationships/hyperlink" Target="https://dalil.kg/document/237" TargetMode="External"/><Relationship Id="rIdt8vissbe8s7qfddgahmb5" Type="http://schemas.openxmlformats.org/officeDocument/2006/relationships/hyperlink" Target="https://dalil.kg/document/39" TargetMode="External"/><Relationship Id="rIdu-1jjdbz7ptbn4_-jxfnz" Type="http://schemas.openxmlformats.org/officeDocument/2006/relationships/hyperlink" Target="https://dalil.kg/document/40" TargetMode="External"/><Relationship Id="rIdphafwqz8dgl359qg3zsrp" Type="http://schemas.openxmlformats.org/officeDocument/2006/relationships/hyperlink" Target="https://dalil.kg/document/1869" TargetMode="External"/><Relationship Id="rIdb27iz7jv-rtbq0u06zmyg" Type="http://schemas.openxmlformats.org/officeDocument/2006/relationships/hyperlink" Target="https://dalil.kg/document/430382" TargetMode="External"/><Relationship Id="rIdhjm3l7vqb9lekd3e2xdw7" Type="http://schemas.openxmlformats.org/officeDocument/2006/relationships/hyperlink" Target="https://dalil.kg/document/19" TargetMode="External"/><Relationship Id="rId0unob388zfppesmipj1mo" Type="http://schemas.openxmlformats.org/officeDocument/2006/relationships/hyperlink" Target="https://dalil.kg/document/18" TargetMode="External"/><Relationship Id="rIdmz-uwxozsunpva4mouqyb" Type="http://schemas.openxmlformats.org/officeDocument/2006/relationships/hyperlink" Target="https://dalil.kg/document/17" TargetMode="External"/><Relationship Id="rIdvmiw8l8jkgutdy6fyd4ld" Type="http://schemas.openxmlformats.org/officeDocument/2006/relationships/hyperlink" Target="https://dalil.kg/document/237" TargetMode="External"/><Relationship Id="rIdsxhflfjs1mjr0_cxqtbwu" Type="http://schemas.openxmlformats.org/officeDocument/2006/relationships/hyperlink" Target="https://dalil.kg/document/40" TargetMode="External"/><Relationship Id="rIddhm8cnlfsx_pfnhz1rdhr" Type="http://schemas.openxmlformats.org/officeDocument/2006/relationships/hyperlink" Target="https://dalil.kg/document/39" TargetMode="External"/><Relationship Id="rIdgl4r4gxjgutcs3pafr3l7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znxjrvc4prh--_woc9g" Type="http://schemas.openxmlformats.org/officeDocument/2006/relationships/hyperlink" Target="https://dalil.kg/document/213716" TargetMode="External"/><Relationship Id="rIdraholpn5o7sdznwrkls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2026-09-28T13:27:37.666Z</dcterms:created>
  <dcterms:modified xsi:type="dcterms:W3CDTF">2026-09-28T13:27:37.666Z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