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РП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Аттокурове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</w:t>
      </w:r>
      <w:hyperlink w:history="1" r:id="rId4ldyppikwsbrxosnrio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АТТОКУРОВА Алмаза Анарбековича</w:t>
      </w:r>
      <w:r>
        <w:rPr>
          <w:rFonts w:ascii="Arial" w:cs="Arial" w:eastAsia="Arial" w:hAnsi="Arial"/>
          <w:sz w:val="24"/>
          <w:szCs w:val="24"/>
        </w:rPr>
        <w:t xml:space="preserve"> главой Государственной администрации – акимом Чуйского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edshbpc2h__tvj7od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dalil.kg/document/213722</w:t>
      </w:r>
    </w:hyperlink>
  </w:p>
  <w:p>
    <w:pPr>
      <w:spacing w:after="0" w:before="40"/>
      <w:jc w:val="center"/>
    </w:pPr>
    <w:hyperlink w:history="1" r:id="rIdqk47muqcosmj6k1uiai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dyppikwsbrxosnriopi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edshbpc2h__tvj7od7e" Type="http://schemas.openxmlformats.org/officeDocument/2006/relationships/hyperlink" Target="https://dalil.kg/document/213722" TargetMode="External"/><Relationship Id="rIdqk47muqcosmj6k1uiai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2026-09-28T13:40:49.335Z</dcterms:created>
  <dcterms:modified xsi:type="dcterms:W3CDTF">2026-09-28T13:40:49.335Z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