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23-р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iy5hoybpghs2fw57z5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2021 года № 61-р)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обязательства Кыргызской Республики, принятого в рамках Согласованного протокола переговоров между Кыргызской Республикой и Международной ассоциацией развития (MAP) относительно Дополнительного финансирования для Второго проекта внутрихозяйственного орошения (ПВО-2), подписанного 21 мая 2011 года, в целях дальнейшей финансовой поддержки водного сектора республики, в соответствии со статьями 10 и 17 </w:t>
      </w:r>
      <w:hyperlink w:history="1" r:id="rIdm8jiplo6bk6zofetzt6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возвращаемые ассоциациями водопользователей и их союзами в счет погашения задолженности по кредитным договорам в рамках проектов Международной ассоциации развития (MAP): «Внутрихозяйственное орошение», осуществлявшегося на основании Соглашения о кредите на цели развития (Кредит № 3369-KG) от 29 июня 2000 года; «Улучшение управления водными ресурсами», осуществлявшегося на основании Соглашения о гранте на цели развития (Грант № H-212KG) от 21 июня 2006 года; «Второй проект Внутрихозяйственного орошения», осуществлявшегося на основании Соглашения о финансировании (Грант № H312-KG) от 29 августа 2007 года; «Дополнительное финансирование для Второго проекта внутрихозяйственное орошение», осуществляемого на основании Соглашения о финансировании (Грант № H718-KG и Кредит № 4982-KG) от 25 июля 2011 года, </w:t>
      </w:r>
      <w:r>
        <w:rPr>
          <w:rFonts w:ascii="Arial" w:cs="Arial" w:eastAsia="Arial" w:hAnsi="Arial"/>
          <w:sz w:val="24"/>
          <w:szCs w:val="24"/>
        </w:rPr>
        <w:t xml:space="preserve">«Улучшение сельскохозяйственной производительности и питания», осуществляемого на основании Грантового соглашения (Грант № </w:t>
      </w:r>
      <w:r>
        <w:rPr>
          <w:rFonts w:ascii="Arial" w:cs="Arial" w:eastAsia="Arial" w:hAnsi="Arial"/>
          <w:sz w:val="24"/>
          <w:szCs w:val="24"/>
        </w:rPr>
        <w:t xml:space="preserve">TF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0645-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) от 18 марта 2016 года». </w:t>
      </w:r>
      <w:r>
        <w:rPr>
          <w:rFonts w:ascii="Arial" w:cs="Arial" w:eastAsia="Arial" w:hAnsi="Arial"/>
          <w:sz w:val="24"/>
          <w:szCs w:val="24"/>
        </w:rPr>
        <w:t xml:space="preserve">подлежат перечислению на счет Центрального казначейства Министерства финансов Кыргызской Республики в Национальном банке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аккумулированные в Национальном банке Кыргызской Республики, подлежат дальнейшему использованию в водном секторе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открыть счет Центрального казначейства Министерства финансов Кыргызской Республики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dk15hatzsja-odxx0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dalil.kg/document/214293</w:t>
      </w:r>
    </w:hyperlink>
  </w:p>
  <w:p>
    <w:pPr>
      <w:spacing w:after="0" w:before="40"/>
      <w:jc w:val="center"/>
    </w:pPr>
    <w:hyperlink w:history="1" r:id="rIdoeopgwyeytk2_nvlgcr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y5hoybpghs2fw57z5kz" Type="http://schemas.openxmlformats.org/officeDocument/2006/relationships/hyperlink" Target="https://dalil.kg/document/218462" TargetMode="External"/><Relationship Id="rIdm8jiplo6bk6zofetzt6_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dk15hatzsja-odxx0oo" Type="http://schemas.openxmlformats.org/officeDocument/2006/relationships/hyperlink" Target="https://dalil.kg/document/214293" TargetMode="External"/><Relationship Id="rIdoeopgwyeytk2_nvlgcr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2026-10-01T09:35:52.001Z</dcterms:created>
  <dcterms:modified xsi:type="dcterms:W3CDTF">2026-10-01T09:35:52.001Z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