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РАСПОРЯЖЕНИЕ</w:t>
      </w:r>
    </w:p>
    <w:p>
      <w:pPr>
        <w:spacing w:after="120"/>
        <w:jc w:val="both"/>
      </w:pPr>
      <w:r>
        <w:rPr>
          <w:rFonts w:ascii="Arial" w:cs="Arial" w:eastAsia="Arial" w:hAnsi="Arial"/>
          <w:sz w:val="24"/>
          <w:szCs w:val="24"/>
        </w:rPr>
        <w:t xml:space="preserve">от 14 мая 2015 года № 206-р</w:t>
      </w:r>
    </w:p>
    <w:p>
      <w:pPr>
        <w:spacing w:after="120"/>
        <w:jc w:val="both"/>
      </w:pPr>
      <w:r>
        <w:rPr>
          <w:rFonts w:ascii="Arial" w:cs="Arial" w:eastAsia="Arial" w:hAnsi="Arial"/>
          <w:sz w:val="24"/>
          <w:szCs w:val="24"/>
        </w:rPr>
        <w:t xml:space="preserve">1. Одобрить прилагаемый </w:t>
      </w:r>
      <w:hyperlink w:history="1" r:id="rIdudzwoacii1_2utp9t72a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Грантового соглашения по проекту "Улучшение управления пастбищами и животноводством" (грант № TF 016850) между Кыргызской Республикой и Международной ассоциацией развития, выступающей в качестве распорядителя грантовых средств, предоставленных различными донорами в рамках Многостороннего донорского программного трастового фонда по развитию потенциала региона Европы и Центральной Азии (TF 071624).</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Грантового соглашения, с правом внесении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Номер гранта TF 016850</w:t>
      </w:r>
    </w:p>
    <w:p>
      <w:pPr>
        <w:spacing w:after="120"/>
        <w:jc w:val="both"/>
      </w:pPr>
      <w:r>
        <w:rPr>
          <w:rFonts w:ascii="Arial" w:cs="Arial" w:eastAsia="Arial" w:hAnsi="Arial"/>
          <w:sz w:val="24"/>
          <w:szCs w:val="24"/>
        </w:rPr>
        <w:t xml:space="preserve">ГРАНТОВОЕ СОГЛАШЕНИЕ
 (Грант по Проекту "Улучшение управления пастбищами и животноводством") между Кыргызской Республикой и Международной Ассоциацией Развития, выступающей в качестве распорядителя грантовых средств, предоставленных различными донорами в рамках Многостороннего донорского программного трастового фонда по развитию потенциала региона Европы и Центральной Азии (TF 071624)</w:t>
      </w:r>
    </w:p>
    <w:p>
      <w:pPr>
        <w:spacing w:after="240"/>
        <w:jc w:val="center"/>
      </w:pPr>
      <w:r>
        <w:rPr>
          <w:rFonts w:ascii="Arial" w:cs="Arial" w:eastAsia="Arial" w:hAnsi="Arial"/>
          <w:sz w:val="24"/>
          <w:szCs w:val="24"/>
        </w:rPr>
        <w:t xml:space="preserve">от _________________ 2015 г.</w:t>
      </w:r>
    </w:p>
    <w:p>
      <w:pPr>
        <w:spacing w:after="60"/>
        <w:ind w:firstLine="567"/>
        <w:jc w:val="both"/>
      </w:pPr>
      <w:r>
        <w:rPr>
          <w:rFonts w:ascii="Arial" w:cs="Arial" w:eastAsia="Arial" w:hAnsi="Arial"/>
          <w:sz w:val="24"/>
          <w:szCs w:val="24"/>
        </w:rPr>
        <w:t xml:space="preserve">Настоящее Соглашение от ________________ 2015 г. подписано между:</w:t>
      </w:r>
    </w:p>
    <w:p>
      <w:pPr>
        <w:spacing w:after="60"/>
        <w:ind w:firstLine="567"/>
        <w:jc w:val="both"/>
      </w:pPr>
      <w:r>
        <w:rPr>
          <w:rFonts w:ascii="Arial" w:cs="Arial" w:eastAsia="Arial" w:hAnsi="Arial"/>
          <w:sz w:val="24"/>
          <w:szCs w:val="24"/>
        </w:rPr>
        <w:t xml:space="preserve">Кыргызской Республикой ("Получатель") и</w:t>
      </w:r>
    </w:p>
    <w:p>
      <w:pPr>
        <w:spacing w:after="60"/>
        <w:ind w:firstLine="567"/>
        <w:jc w:val="both"/>
      </w:pPr>
      <w:r>
        <w:rPr>
          <w:rFonts w:ascii="Arial" w:cs="Arial" w:eastAsia="Arial" w:hAnsi="Arial"/>
          <w:sz w:val="24"/>
          <w:szCs w:val="24"/>
        </w:rPr>
        <w:t xml:space="preserve">Международной ассоциацией развития ("Всемирный банк"), выступающей в качестве распорядителя грантовых средств, предоставленных различными донорами в рамках Многостороннего донорского программного трастового фонда по развитию потенциала региона Европы и Центральной Азии TF 071624.</w:t>
      </w:r>
    </w:p>
    <w:p>
      <w:pPr>
        <w:spacing w:after="60"/>
        <w:ind w:firstLine="567"/>
        <w:jc w:val="both"/>
      </w:pPr>
      <w:r>
        <w:rPr>
          <w:rFonts w:ascii="Arial" w:cs="Arial" w:eastAsia="Arial" w:hAnsi="Arial"/>
          <w:sz w:val="24"/>
          <w:szCs w:val="24"/>
        </w:rPr>
        <w:t xml:space="preserve">Настоящим, Получатель и Всемирный банк соглашаются о нижеследующем:</w:t>
      </w:r>
    </w:p>
    <w:p>
      <w:pPr>
        <w:spacing w:after="60" w:before="200"/>
        <w:ind w:firstLine="567"/>
        <w:jc w:val="left"/>
      </w:pPr>
      <w:r>
        <w:rPr>
          <w:rFonts w:ascii="Arial" w:cs="Arial" w:eastAsia="Arial" w:hAnsi="Arial"/>
          <w:b/>
          <w:bCs/>
          <w:sz w:val="24"/>
          <w:szCs w:val="24"/>
        </w:rPr>
        <w:t xml:space="preserve">Статья I. Стандартные условия. Определения</w:t>
      </w:r>
    </w:p>
    <w:p>
      <w:pPr>
        <w:spacing w:after="60"/>
        <w:ind w:firstLine="567"/>
        <w:jc w:val="both"/>
      </w:pPr>
      <w:r>
        <w:rPr>
          <w:rFonts w:ascii="Arial" w:cs="Arial" w:eastAsia="Arial" w:hAnsi="Arial"/>
          <w:sz w:val="24"/>
          <w:szCs w:val="24"/>
        </w:rPr>
        <w:t xml:space="preserve">1.01. Стандартные условия для грантов, выделяемых Всемирным банком из различных фондов, в редакции от 15 февраля 2012 года ("Стандартные условия"), составляют неотъемлемую часть настоящего Соглашения.</w:t>
      </w:r>
    </w:p>
    <w:p>
      <w:pPr>
        <w:spacing w:after="60"/>
        <w:ind w:firstLine="567"/>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соответствующие значения, закрепленные за ними в "Стандартных условиях" или настоящем Соглашении.</w:t>
      </w:r>
    </w:p>
    <w:p>
      <w:pPr>
        <w:spacing w:after="60" w:before="200"/>
        <w:ind w:firstLine="567"/>
        <w:jc w:val="left"/>
      </w:pPr>
      <w:r>
        <w:rPr>
          <w:rFonts w:ascii="Arial" w:cs="Arial" w:eastAsia="Arial" w:hAnsi="Arial"/>
          <w:b/>
          <w:bCs/>
          <w:sz w:val="24"/>
          <w:szCs w:val="24"/>
        </w:rPr>
        <w:t xml:space="preserve">Статья </w:t>
      </w:r>
      <w:r>
        <w:rPr>
          <w:rFonts w:ascii="Arial" w:cs="Arial" w:eastAsia="Arial" w:hAnsi="Arial"/>
          <w:b/>
          <w:bCs/>
          <w:sz w:val="24"/>
          <w:szCs w:val="24"/>
        </w:rPr>
        <w:t xml:space="preserve">II</w:t>
      </w:r>
      <w:r>
        <w:rPr>
          <w:rFonts w:ascii="Arial" w:cs="Arial" w:eastAsia="Arial" w:hAnsi="Arial"/>
          <w:b/>
          <w:bCs/>
          <w:sz w:val="24"/>
          <w:szCs w:val="24"/>
        </w:rPr>
        <w:t xml:space="preserve">. Проект</w:t>
      </w:r>
    </w:p>
    <w:p>
      <w:pPr>
        <w:spacing w:after="60"/>
        <w:ind w:firstLine="567"/>
        <w:jc w:val="both"/>
      </w:pPr>
      <w:r>
        <w:rPr>
          <w:rFonts w:ascii="Arial" w:cs="Arial" w:eastAsia="Arial" w:hAnsi="Arial"/>
          <w:sz w:val="24"/>
          <w:szCs w:val="24"/>
        </w:rPr>
        <w:t xml:space="preserve">2.01. Получатель заявляет о своей приверженности целям проекта, описанным в Приложении 1 настоящего Соглашения ("Проект"). С этой целью Получатель должен реализовывать Проект через Отдел реализации сельскохозяйственных проектов (ОРСП) в соответствии с положениями Статьи II "Стандартных условий".</w:t>
      </w:r>
    </w:p>
    <w:p>
      <w:pPr>
        <w:spacing w:after="60"/>
        <w:ind w:firstLine="567"/>
        <w:jc w:val="both"/>
      </w:pPr>
      <w:r>
        <w:rPr>
          <w:rFonts w:ascii="Arial" w:cs="Arial" w:eastAsia="Arial" w:hAnsi="Arial"/>
          <w:sz w:val="24"/>
          <w:szCs w:val="24"/>
        </w:rPr>
        <w:t xml:space="preserve">2.02. Без каких-либо ограничений в рамках положений Раздела 2.01 настоящего Соглашения и за исключением случаев, когда Получатель и Всемирный банк придут к иному соглашению, Получатель должен обеспечить реализацию Проекта в соответствии с положениями Приложения 2 к настоящему Соглашению.</w:t>
      </w:r>
    </w:p>
    <w:p>
      <w:pPr>
        <w:spacing w:after="60" w:before="200"/>
        <w:ind w:firstLine="567"/>
        <w:jc w:val="left"/>
      </w:pPr>
      <w:r>
        <w:rPr>
          <w:rFonts w:ascii="Arial" w:cs="Arial" w:eastAsia="Arial" w:hAnsi="Arial"/>
          <w:b/>
          <w:bCs/>
          <w:sz w:val="24"/>
          <w:szCs w:val="24"/>
        </w:rPr>
        <w:t xml:space="preserve">Статья III. Грант</w:t>
      </w:r>
    </w:p>
    <w:p>
      <w:pPr>
        <w:spacing w:after="60"/>
        <w:ind w:firstLine="567"/>
        <w:jc w:val="both"/>
      </w:pPr>
      <w:r>
        <w:rPr>
          <w:rFonts w:ascii="Arial" w:cs="Arial" w:eastAsia="Arial" w:hAnsi="Arial"/>
          <w:sz w:val="24"/>
          <w:szCs w:val="24"/>
        </w:rPr>
        <w:t xml:space="preserve">3.01. Всемирный банк соглашается предоставить Получателю, на условиях, изложенных или упоминаемых в настоящем Соглашении, грант на сумму в размере четыреста восемьдесят семь тысяч пятьсот долларов США ($ 487500) ("Грант") для оказания поддержки по финансированию Проекта.</w:t>
      </w:r>
    </w:p>
    <w:p>
      <w:pPr>
        <w:spacing w:after="60"/>
        <w:ind w:firstLine="567"/>
        <w:jc w:val="both"/>
      </w:pPr>
      <w:r>
        <w:rPr>
          <w:rFonts w:ascii="Arial" w:cs="Arial" w:eastAsia="Arial" w:hAnsi="Arial"/>
          <w:sz w:val="24"/>
          <w:szCs w:val="24"/>
        </w:rPr>
        <w:t xml:space="preserve">3.02. Получатель может осуществлять выборку средств Гранта в соответствии с Разделом IV Приложения 2 к настоящему Соглашению.</w:t>
      </w:r>
    </w:p>
    <w:p>
      <w:pPr>
        <w:spacing w:after="60"/>
        <w:ind w:firstLine="567"/>
        <w:jc w:val="both"/>
      </w:pPr>
      <w:r>
        <w:rPr>
          <w:rFonts w:ascii="Arial" w:cs="Arial" w:eastAsia="Arial" w:hAnsi="Arial"/>
          <w:sz w:val="24"/>
          <w:szCs w:val="24"/>
        </w:rPr>
        <w:t xml:space="preserve">3.03. Настоящий Грант финансируется из средств вышеуказанного трастового фонда, в рамках которого Всемирный банк на регулярной основе получает взносы со стороны доноров трастового фонда. В соответствии с Разделом 3.02 "Стандартных условий" платежные обязательства Всемирного банка в связи с настоящим Соглашением ограничены в размере средств, предоставленных донорами в рамках вышеупомянутого трастового фонда, а право Получателя осуществлять выборку средств Гранта ограничивается доступностью таких средств.</w:t>
      </w:r>
    </w:p>
    <w:p>
      <w:pPr>
        <w:spacing w:after="60" w:before="200"/>
        <w:ind w:firstLine="567"/>
        <w:jc w:val="left"/>
      </w:pPr>
      <w:r>
        <w:rPr>
          <w:rFonts w:ascii="Arial" w:cs="Arial" w:eastAsia="Arial" w:hAnsi="Arial"/>
          <w:b/>
          <w:bCs/>
          <w:sz w:val="24"/>
          <w:szCs w:val="24"/>
        </w:rPr>
        <w:t xml:space="preserve">Статья IV. Вступление в силу. Прекращение действия</w:t>
      </w:r>
    </w:p>
    <w:p>
      <w:pPr>
        <w:spacing w:after="60"/>
        <w:ind w:firstLine="567"/>
        <w:jc w:val="both"/>
      </w:pPr>
      <w:r>
        <w:rPr>
          <w:rFonts w:ascii="Arial" w:cs="Arial" w:eastAsia="Arial" w:hAnsi="Arial"/>
          <w:sz w:val="24"/>
          <w:szCs w:val="24"/>
        </w:rPr>
        <w:t xml:space="preserve">4.01. Настоящее Соглашение не вступит в силу до тех пор, пока Всемирному банку не будет предоставлено удовлетворяющее требованиям Всемирного банка подтверждение, свидетельствующее о выполнении следующих условий:</w:t>
      </w:r>
    </w:p>
    <w:p>
      <w:pPr>
        <w:spacing w:after="60"/>
        <w:ind w:firstLine="567"/>
        <w:jc w:val="both"/>
      </w:pPr>
      <w:r>
        <w:rPr>
          <w:rFonts w:ascii="Arial" w:cs="Arial" w:eastAsia="Arial" w:hAnsi="Arial"/>
          <w:sz w:val="24"/>
          <w:szCs w:val="24"/>
        </w:rPr>
        <w:t xml:space="preserve">(a) подписание Получателем настоящего Соглашения; и</w:t>
      </w:r>
    </w:p>
    <w:p>
      <w:pPr>
        <w:spacing w:after="60"/>
        <w:ind w:firstLine="567"/>
        <w:jc w:val="both"/>
      </w:pPr>
      <w:r>
        <w:rPr>
          <w:rFonts w:ascii="Arial" w:cs="Arial" w:eastAsia="Arial" w:hAnsi="Arial"/>
          <w:sz w:val="24"/>
          <w:szCs w:val="24"/>
        </w:rPr>
        <w:t xml:space="preserve">(b) извещение Получателем Всемирного банка о выполнении всех необходимых государственных процедур, необходимых для обеспечения юридически обязательного характера настоящего Соглашения.</w:t>
      </w:r>
    </w:p>
    <w:p>
      <w:pPr>
        <w:spacing w:after="60"/>
        <w:ind w:firstLine="567"/>
        <w:jc w:val="both"/>
      </w:pPr>
      <w:r>
        <w:rPr>
          <w:rFonts w:ascii="Arial" w:cs="Arial" w:eastAsia="Arial" w:hAnsi="Arial"/>
          <w:sz w:val="24"/>
          <w:szCs w:val="24"/>
        </w:rPr>
        <w:t xml:space="preserve">4.02. За исключением случаев иных договоренностей между Получателем и Всемирным банком, датой вступления настоящего Соглашения в силу должна быть дата предоставления Всемирным банком уведомления Получателю об одобрении Всемирным банком подтверждения о должном выполнении всех внутригосударственных процедур, необходимых для подписания и выполнения данного Соглашения от имени Получателя. Если, в период, предшествующий дате вступления настоящего Соглашения в силу, имеет место какое-либо событие, которое бы давало Всемирному банку основание для временной приостановки права Получателя на выборку средств с Грантового счета, как если бы настоящее Соглашение уже вступило в силу, то в этом случае Всемирный банк может отложить предоставление такого уведомления, упомянутого в данном Разделе, до завершения данного события (или событий).</w:t>
      </w:r>
    </w:p>
    <w:p>
      <w:pPr>
        <w:spacing w:after="60"/>
        <w:ind w:firstLine="567"/>
        <w:jc w:val="both"/>
      </w:pPr>
      <w:r>
        <w:rPr>
          <w:rFonts w:ascii="Arial" w:cs="Arial" w:eastAsia="Arial" w:hAnsi="Arial"/>
          <w:sz w:val="24"/>
          <w:szCs w:val="24"/>
        </w:rPr>
        <w:t xml:space="preserve">4.03. Настоящее Соглашение и все обязательства сторон по нему прекращаются, если оно не вступает в силу спустя девяносто (90) дней после даты заключения настоящего Соглашения, если Всемирный банк, после рассмотрения причин подобной задержки, не устанавливает более поздний срок для целей настоящего Раздела. Всемирный банк незамедлительно уведомляет Получателя о таком более позднем сроке.</w:t>
      </w:r>
    </w:p>
    <w:p>
      <w:pPr>
        <w:spacing w:after="60" w:before="200"/>
        <w:ind w:firstLine="567"/>
        <w:jc w:val="left"/>
      </w:pPr>
      <w:r>
        <w:rPr>
          <w:rFonts w:ascii="Arial" w:cs="Arial" w:eastAsia="Arial" w:hAnsi="Arial"/>
          <w:b/>
          <w:bCs/>
          <w:sz w:val="24"/>
          <w:szCs w:val="24"/>
        </w:rPr>
        <w:t xml:space="preserve">Статья IV. Представитель Получателя, адреса</w:t>
      </w:r>
    </w:p>
    <w:p>
      <w:pPr>
        <w:spacing w:after="60"/>
        <w:ind w:firstLine="567"/>
        <w:jc w:val="both"/>
      </w:pPr>
      <w:r>
        <w:rPr>
          <w:rFonts w:ascii="Arial" w:cs="Arial" w:eastAsia="Arial" w:hAnsi="Arial"/>
          <w:sz w:val="24"/>
          <w:szCs w:val="24"/>
        </w:rPr>
        <w:t xml:space="preserve">5.01. Представителем Получателя, упоминаемым в Разделе 7.02 "Стандартных условий", является его Министр финансов.</w:t>
      </w:r>
    </w:p>
    <w:p>
      <w:pPr>
        <w:spacing w:after="60"/>
        <w:ind w:firstLine="567"/>
        <w:jc w:val="both"/>
      </w:pPr>
      <w:r>
        <w:rPr>
          <w:rFonts w:ascii="Arial" w:cs="Arial" w:eastAsia="Arial" w:hAnsi="Arial"/>
          <w:sz w:val="24"/>
          <w:szCs w:val="24"/>
        </w:rPr>
        <w:t xml:space="preserve">5.02. Адрес Получателя, упоминаемый в Разделе 7.01 "Стандартных условий":</w:t>
      </w:r>
    </w:p>
    <w:p>
      <w:pPr>
        <w:spacing w:after="60" w:before="120"/>
        <w:ind w:firstLine="567"/>
        <w:jc w:val="both"/>
      </w:pPr>
      <w:r>
        <w:rPr>
          <w:rFonts w:ascii="Arial" w:cs="Arial" w:eastAsia="Arial" w:hAnsi="Arial"/>
          <w:sz w:val="24"/>
          <w:szCs w:val="24"/>
        </w:rPr>
        <w:t xml:space="preserve">Министерство финансов</w:t>
      </w:r>
    </w:p>
    <w:p>
      <w:pPr>
        <w:spacing w:after="60"/>
        <w:ind w:firstLine="567"/>
        <w:jc w:val="both"/>
      </w:pPr>
      <w:r>
        <w:rPr>
          <w:rFonts w:ascii="Arial" w:cs="Arial" w:eastAsia="Arial" w:hAnsi="Arial"/>
          <w:sz w:val="24"/>
          <w:szCs w:val="24"/>
        </w:rPr>
        <w:t xml:space="preserve">бульвар Эркиндик, 58</w:t>
      </w:r>
    </w:p>
    <w:p>
      <w:pPr>
        <w:spacing w:after="60"/>
        <w:ind w:firstLine="567"/>
        <w:jc w:val="both"/>
      </w:pPr>
      <w:r>
        <w:rPr>
          <w:rFonts w:ascii="Arial" w:cs="Arial" w:eastAsia="Arial" w:hAnsi="Arial"/>
          <w:sz w:val="24"/>
          <w:szCs w:val="24"/>
        </w:rPr>
        <w:t xml:space="preserve">Бишкек, 720040</w:t>
      </w:r>
    </w:p>
    <w:p>
      <w:pPr>
        <w:spacing w:after="60"/>
        <w:ind w:firstLine="567"/>
        <w:jc w:val="both"/>
      </w:pPr>
      <w:r>
        <w:rPr>
          <w:rFonts w:ascii="Arial" w:cs="Arial" w:eastAsia="Arial" w:hAnsi="Arial"/>
          <w:sz w:val="24"/>
          <w:szCs w:val="24"/>
        </w:rPr>
        <w:t xml:space="preserve">Кыргызская Республика</w:t>
      </w:r>
    </w:p>
    <w:p>
      <w:pPr>
        <w:spacing w:after="120"/>
        <w:ind w:firstLine="567"/>
        <w:jc w:val="both"/>
      </w:pPr>
      <w:r>
        <w:rPr>
          <w:rFonts w:ascii="Arial" w:cs="Arial" w:eastAsia="Arial" w:hAnsi="Arial"/>
          <w:sz w:val="24"/>
          <w:szCs w:val="24"/>
        </w:rPr>
        <w:t xml:space="preserve">Факс: (996-312) 661645</w:t>
      </w:r>
    </w:p>
    <w:p>
      <w:pPr>
        <w:spacing w:after="120"/>
        <w:ind w:firstLine="567"/>
        <w:jc w:val="both"/>
      </w:pPr>
      <w:r>
        <w:rPr>
          <w:rFonts w:ascii="Arial" w:cs="Arial" w:eastAsia="Arial" w:hAnsi="Arial"/>
          <w:sz w:val="24"/>
          <w:szCs w:val="24"/>
        </w:rPr>
        <w:t xml:space="preserve">5.03. Адрес Всемирного банка, упоминаемый в Разделе 7.01 "Стандартных условий":</w:t>
      </w:r>
    </w:p>
    <w:p>
      <w:pPr>
        <w:spacing w:after="60"/>
        <w:ind w:firstLine="567"/>
        <w:jc w:val="both"/>
      </w:pPr>
      <w:r>
        <w:rPr>
          <w:rFonts w:ascii="Arial" w:cs="Arial" w:eastAsia="Arial" w:hAnsi="Arial"/>
          <w:sz w:val="24"/>
          <w:szCs w:val="24"/>
        </w:rPr>
        <w:t xml:space="preserve">International Development Association</w:t>
      </w:r>
    </w:p>
    <w:p>
      <w:pPr>
        <w:spacing w:after="60"/>
        <w:ind w:firstLine="567"/>
        <w:jc w:val="both"/>
      </w:pPr>
      <w:r>
        <w:rPr>
          <w:rFonts w:ascii="Arial" w:cs="Arial" w:eastAsia="Arial" w:hAnsi="Arial"/>
          <w:sz w:val="24"/>
          <w:szCs w:val="24"/>
        </w:rPr>
        <w:t xml:space="preserve">1818 H Street, N.W.</w:t>
      </w:r>
    </w:p>
    <w:p>
      <w:pPr>
        <w:spacing w:after="60"/>
        <w:ind w:firstLine="567"/>
        <w:jc w:val="both"/>
      </w:pPr>
      <w:r>
        <w:rPr>
          <w:rFonts w:ascii="Arial" w:cs="Arial" w:eastAsia="Arial" w:hAnsi="Arial"/>
          <w:sz w:val="24"/>
          <w:szCs w:val="24"/>
        </w:rPr>
        <w:t xml:space="preserve">Washington, D.C. 20433</w:t>
      </w:r>
    </w:p>
    <w:p>
      <w:pPr>
        <w:spacing w:after="60"/>
        <w:ind w:firstLine="567"/>
        <w:jc w:val="both"/>
      </w:pPr>
      <w:r>
        <w:rPr>
          <w:rFonts w:ascii="Arial" w:cs="Arial" w:eastAsia="Arial" w:hAnsi="Arial"/>
          <w:sz w:val="24"/>
          <w:szCs w:val="24"/>
        </w:rPr>
        <w:t xml:space="preserve">United States of America</w:t>
      </w:r>
    </w:p>
    <w:p>
      <w:pPr>
        <w:tabs>
          <w:tab w:val="right" w:pos="10178"/>
        </w:tabs>
        <w:spacing w:after="120"/>
      </w:pPr>
      <w:r>
        <w:rPr>
          <w:rFonts w:ascii="Arial" w:cs="Arial" w:eastAsia="Arial" w:hAnsi="Arial"/>
          <w:sz w:val="24"/>
          <w:szCs w:val="24"/>
        </w:rPr>
        <w:t xml:space="preserve">Кабельная связь:</w:t>
      </w:r>
      <w:r>
        <w:rPr>
          <w:rFonts w:ascii="Arial" w:cs="Arial" w:eastAsia="Arial" w:hAnsi="Arial"/>
          <w:sz w:val="24"/>
          <w:szCs w:val="24"/>
        </w:rPr>
        <w:t xml:space="preserve">	</w:t>
      </w:r>
      <w:r>
        <w:rPr>
          <w:rFonts w:ascii="Arial" w:cs="Arial" w:eastAsia="Arial" w:hAnsi="Arial"/>
          <w:sz w:val="24"/>
          <w:szCs w:val="24"/>
        </w:rPr>
        <w:t xml:space="preserve">Факсимиле:</w:t>
      </w:r>
    </w:p>
    <w:p>
      <w:pPr>
        <w:tabs>
          <w:tab w:val="right" w:pos="10178"/>
        </w:tabs>
        <w:spacing w:after="120"/>
      </w:pPr>
      <w:r>
        <w:rPr>
          <w:rFonts w:ascii="Arial" w:cs="Arial" w:eastAsia="Arial" w:hAnsi="Arial"/>
          <w:sz w:val="24"/>
          <w:szCs w:val="24"/>
        </w:rPr>
        <w:t xml:space="preserve">INDEVAS</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Согласовано в г. _________________ в день и год, указанные в начале настоящего документа.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 стороны КЫРГЫЗСКОЙ РЕСПУБЛИКИ:</w:t>
      </w:r>
    </w:p>
    <w:p>
      <w:pPr>
        <w:spacing w:after="120"/>
        <w:jc w:val="left"/>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Уполномоченный представитель</w:t>
      </w:r>
    </w:p>
    <w:p>
      <w:pPr>
        <w:spacing w:after="120"/>
        <w:jc w:val="left"/>
      </w:pPr>
      <w:r>
        <w:rPr>
          <w:rFonts w:ascii="Arial" w:cs="Arial" w:eastAsia="Arial" w:hAnsi="Arial"/>
          <w:sz w:val="24"/>
          <w:szCs w:val="24"/>
        </w:rPr>
        <w:t xml:space="preserve">ФИО: __________________________________</w:t>
      </w:r>
    </w:p>
    <w:p>
      <w:pPr>
        <w:spacing w:after="120"/>
        <w:jc w:val="left"/>
      </w:pPr>
      <w:r>
        <w:rPr>
          <w:rFonts w:ascii="Arial" w:cs="Arial" w:eastAsia="Arial" w:hAnsi="Arial"/>
          <w:sz w:val="24"/>
          <w:szCs w:val="24"/>
        </w:rPr>
        <w:t xml:space="preserve">Должность: _____________________________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 стороны МЕЖДУНАРОДНОЙ АССОЦИАЦИИ РАЗВИТИЯ, выступающей в качестве распорядителя грантовых средств, предоставленных различными донорами в рамках Многостороннего донорского программного трастового фонда по развитию потенциала региона Европы и Центральной Азии TF 071624:</w:t>
      </w:r>
    </w:p>
    <w:p>
      <w:pPr>
        <w:spacing w:after="120"/>
        <w:jc w:val="left"/>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Уполномоченный представитель</w:t>
      </w:r>
    </w:p>
    <w:p>
      <w:pPr>
        <w:spacing w:after="120"/>
        <w:jc w:val="left"/>
      </w:pPr>
      <w:r>
        <w:rPr>
          <w:rFonts w:ascii="Arial" w:cs="Arial" w:eastAsia="Arial" w:hAnsi="Arial"/>
          <w:sz w:val="24"/>
          <w:szCs w:val="24"/>
        </w:rPr>
        <w:t xml:space="preserve">ФИО: Сародж Кумар Джа</w:t>
      </w:r>
    </w:p>
    <w:p>
      <w:pPr>
        <w:spacing w:after="120"/>
        <w:jc w:val="left"/>
      </w:pPr>
      <w:r>
        <w:rPr>
          <w:rFonts w:ascii="Arial" w:cs="Arial" w:eastAsia="Arial" w:hAnsi="Arial"/>
          <w:sz w:val="24"/>
          <w:szCs w:val="24"/>
        </w:rPr>
        <w:t xml:space="preserve">Должность: Региональный директор по странам Центральной Азии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Описание Проекта</w:t>
      </w:r>
    </w:p>
    <w:p>
      <w:pPr>
        <w:spacing w:after="60"/>
        <w:ind w:firstLine="567"/>
        <w:jc w:val="both"/>
      </w:pPr>
      <w:r>
        <w:rPr>
          <w:rFonts w:ascii="Arial" w:cs="Arial" w:eastAsia="Arial" w:hAnsi="Arial"/>
          <w:sz w:val="24"/>
          <w:szCs w:val="24"/>
        </w:rPr>
        <w:t xml:space="preserve">Цели Проекта заключаются в следующем: (а) поддержка подготовки ПУУПЖ; и (</w:t>
      </w:r>
      <w:r>
        <w:rPr>
          <w:rFonts w:ascii="Arial" w:cs="Arial" w:eastAsia="Arial" w:hAnsi="Arial"/>
          <w:sz w:val="24"/>
          <w:szCs w:val="24"/>
        </w:rPr>
        <w:t xml:space="preserve">b</w:t>
      </w:r>
      <w:r>
        <w:rPr>
          <w:rFonts w:ascii="Arial" w:cs="Arial" w:eastAsia="Arial" w:hAnsi="Arial"/>
          <w:sz w:val="24"/>
          <w:szCs w:val="24"/>
        </w:rPr>
        <w:t xml:space="preserve">) развитие потенциала местных институтов и основных заинтересованных сторон для реализации ПУУПЖ.</w:t>
      </w:r>
    </w:p>
    <w:p>
      <w:pPr>
        <w:spacing w:after="60"/>
        <w:ind w:firstLine="567"/>
        <w:jc w:val="both"/>
      </w:pPr>
      <w:r>
        <w:rPr>
          <w:rFonts w:ascii="Arial" w:cs="Arial" w:eastAsia="Arial" w:hAnsi="Arial"/>
          <w:sz w:val="24"/>
          <w:szCs w:val="24"/>
        </w:rPr>
        <w:t xml:space="preserve">Проект состоит из следующих частей:</w:t>
      </w:r>
    </w:p>
    <w:p>
      <w:pPr>
        <w:spacing w:after="60" w:before="200"/>
        <w:ind w:firstLine="567"/>
        <w:jc w:val="left"/>
      </w:pPr>
      <w:r>
        <w:rPr>
          <w:rFonts w:ascii="Arial" w:cs="Arial" w:eastAsia="Arial" w:hAnsi="Arial"/>
          <w:b/>
          <w:bCs/>
          <w:sz w:val="24"/>
          <w:szCs w:val="24"/>
        </w:rPr>
        <w:t xml:space="preserve">Часть 1: Планирование управления общинными пастбищами</w:t>
      </w:r>
    </w:p>
    <w:p>
      <w:pPr>
        <w:spacing w:after="60"/>
        <w:ind w:firstLine="567"/>
        <w:jc w:val="both"/>
      </w:pPr>
      <w:r>
        <w:rPr>
          <w:rFonts w:ascii="Arial" w:cs="Arial" w:eastAsia="Arial" w:hAnsi="Arial"/>
          <w:sz w:val="24"/>
          <w:szCs w:val="24"/>
        </w:rPr>
        <w:t xml:space="preserve">(a) Оценка потенциала пастбищных комитетов в части реализации успешных планов управления общинными пастбищами; и</w:t>
      </w:r>
    </w:p>
    <w:p>
      <w:pPr>
        <w:spacing w:after="60"/>
        <w:ind w:firstLine="567"/>
        <w:jc w:val="both"/>
      </w:pPr>
      <w:r>
        <w:rPr>
          <w:rFonts w:ascii="Arial" w:cs="Arial" w:eastAsia="Arial" w:hAnsi="Arial"/>
          <w:sz w:val="24"/>
          <w:szCs w:val="24"/>
        </w:rPr>
        <w:t xml:space="preserve">(b) Развитие потенциала Департамента пастбищ Получателя, Сельских консультационных служб (технические аспекты) и АРИС (аспекты социальной интеграции и управления), в части обеспечения поддержки пастбищных комитетов в рамках ПУУПЖ.</w:t>
      </w:r>
    </w:p>
    <w:p>
      <w:pPr>
        <w:spacing w:after="60" w:before="200"/>
        <w:ind w:firstLine="567"/>
        <w:jc w:val="left"/>
      </w:pPr>
      <w:r>
        <w:rPr>
          <w:rFonts w:ascii="Arial" w:cs="Arial" w:eastAsia="Arial" w:hAnsi="Arial"/>
          <w:b/>
          <w:bCs/>
          <w:sz w:val="24"/>
          <w:szCs w:val="24"/>
        </w:rPr>
        <w:t xml:space="preserve">Часть 2: Работа пастбищных комитетов по укреплению здоровья животных</w:t>
      </w:r>
    </w:p>
    <w:p>
      <w:pPr>
        <w:spacing w:after="60"/>
        <w:ind w:firstLine="567"/>
        <w:jc w:val="both"/>
      </w:pPr>
      <w:r>
        <w:rPr>
          <w:rFonts w:ascii="Arial" w:cs="Arial" w:eastAsia="Arial" w:hAnsi="Arial"/>
          <w:sz w:val="24"/>
          <w:szCs w:val="24"/>
        </w:rPr>
        <w:t xml:space="preserve">(a) Оценка потенциала частных ветеринаров и пастбищных комитетов, в части реализации успешных планов укрепления здоровья пастбищного скота; и</w:t>
      </w:r>
    </w:p>
    <w:p>
      <w:pPr>
        <w:spacing w:after="60"/>
        <w:ind w:firstLine="567"/>
        <w:jc w:val="both"/>
      </w:pPr>
      <w:r>
        <w:rPr>
          <w:rFonts w:ascii="Arial" w:cs="Arial" w:eastAsia="Arial" w:hAnsi="Arial"/>
          <w:sz w:val="24"/>
          <w:szCs w:val="24"/>
        </w:rPr>
        <w:t xml:space="preserve">(b) Развитие потенциала Ветеринарной палаты и Сельских консультационных служб Получателя, в части обеспечения поддержки частных ветеринаров и пастбищных комитетов в рамках ПУУПЖ.</w:t>
      </w:r>
    </w:p>
    <w:p>
      <w:pPr>
        <w:spacing w:after="60" w:before="200"/>
        <w:ind w:firstLine="567"/>
        <w:jc w:val="left"/>
      </w:pPr>
      <w:r>
        <w:rPr>
          <w:rFonts w:ascii="Arial" w:cs="Arial" w:eastAsia="Arial" w:hAnsi="Arial"/>
          <w:b/>
          <w:bCs/>
          <w:sz w:val="24"/>
          <w:szCs w:val="24"/>
        </w:rPr>
        <w:t xml:space="preserve">Часть 3: Мониторинг и оценка пастбищ</w:t>
      </w:r>
    </w:p>
    <w:p>
      <w:pPr>
        <w:spacing w:after="60"/>
        <w:ind w:firstLine="567"/>
        <w:jc w:val="both"/>
      </w:pPr>
      <w:r>
        <w:rPr>
          <w:rFonts w:ascii="Arial" w:cs="Arial" w:eastAsia="Arial" w:hAnsi="Arial"/>
          <w:sz w:val="24"/>
          <w:szCs w:val="24"/>
        </w:rPr>
        <w:t xml:space="preserve">(a) Оценка потенциала ОРСП и Департамента пастбищ; и</w:t>
      </w:r>
    </w:p>
    <w:p>
      <w:pPr>
        <w:spacing w:after="60"/>
        <w:ind w:firstLine="567"/>
        <w:jc w:val="both"/>
      </w:pPr>
      <w:r>
        <w:rPr>
          <w:rFonts w:ascii="Arial" w:cs="Arial" w:eastAsia="Arial" w:hAnsi="Arial"/>
          <w:sz w:val="24"/>
          <w:szCs w:val="24"/>
        </w:rPr>
        <w:t xml:space="preserve">(b) Разработка систем мониторинга и оценки в рамках Проекта в качестве основы для: (i) мониторинга и оценки Проекта ОРСП; и (ii) мониторинга и оценки Департаментом пастбищ осуществления пастбищных реформ.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Реализация Проекта</w:t>
      </w:r>
    </w:p>
    <w:p>
      <w:pPr>
        <w:spacing w:after="60" w:before="200"/>
        <w:ind w:firstLine="567"/>
        <w:jc w:val="left"/>
      </w:pPr>
      <w:r>
        <w:rPr>
          <w:rFonts w:ascii="Arial" w:cs="Arial" w:eastAsia="Arial" w:hAnsi="Arial"/>
          <w:b/>
          <w:bCs/>
          <w:sz w:val="24"/>
          <w:szCs w:val="24"/>
        </w:rPr>
        <w:t xml:space="preserve">Раздел I. Институциональные и иные механизмы</w:t>
      </w:r>
    </w:p>
    <w:p>
      <w:pPr>
        <w:spacing w:after="60" w:before="200"/>
        <w:ind w:firstLine="567"/>
        <w:jc w:val="left"/>
      </w:pPr>
      <w:r>
        <w:rPr>
          <w:rFonts w:ascii="Arial" w:cs="Arial" w:eastAsia="Arial" w:hAnsi="Arial"/>
          <w:b/>
          <w:bCs/>
          <w:sz w:val="24"/>
          <w:szCs w:val="24"/>
        </w:rPr>
        <w:t xml:space="preserve">A. Механизмы реализации</w:t>
      </w:r>
    </w:p>
    <w:p>
      <w:pPr>
        <w:spacing w:after="60"/>
        <w:ind w:firstLine="567"/>
        <w:jc w:val="both"/>
      </w:pPr>
      <w:r>
        <w:rPr>
          <w:rFonts w:ascii="Arial" w:cs="Arial" w:eastAsia="Arial" w:hAnsi="Arial"/>
          <w:sz w:val="24"/>
          <w:szCs w:val="24"/>
        </w:rPr>
        <w:t xml:space="preserve">В целях реализации Проекта, в любое время на протяжении реализации Проекта Получатель обеспечивает ОРСП профессиональными кадрами в достаточном количестве и согласно техническим заданиям, квалификации и функциям, приемлемым для Всемирного банка, с целью выполнения всех соответствующих функций по Проекту, включая, помимо прочего, закупки, финансовое управление, отчетность, мониторинг и оценку.</w:t>
      </w:r>
    </w:p>
    <w:p>
      <w:pPr>
        <w:spacing w:after="60" w:before="200"/>
        <w:ind w:firstLine="567"/>
        <w:jc w:val="left"/>
      </w:pPr>
      <w:r>
        <w:rPr>
          <w:rFonts w:ascii="Arial" w:cs="Arial" w:eastAsia="Arial" w:hAnsi="Arial"/>
          <w:b/>
          <w:bCs/>
          <w:sz w:val="24"/>
          <w:szCs w:val="24"/>
        </w:rPr>
        <w:t xml:space="preserve">B. Противодействие коррупции</w:t>
      </w:r>
    </w:p>
    <w:p>
      <w:pPr>
        <w:spacing w:after="60"/>
        <w:ind w:firstLine="567"/>
        <w:jc w:val="both"/>
      </w:pPr>
      <w:r>
        <w:rPr>
          <w:rFonts w:ascii="Arial" w:cs="Arial" w:eastAsia="Arial" w:hAnsi="Arial"/>
          <w:sz w:val="24"/>
          <w:szCs w:val="24"/>
        </w:rPr>
        <w:t xml:space="preserve">Получатель должен обеспечить реализацию Проекта в соответствии с положениями "Руководящих принципов по предотвращению и борьбе с мошенничеством и коррупцией в проектах, финансируемых за счет займов МБРР и кредитов и грантов МАР" от 15 октября 2006 года и пересмотренных в январе 2011 года ("Руководящие принципы по противодействию коррупции").</w:t>
      </w:r>
    </w:p>
    <w:p>
      <w:pPr>
        <w:spacing w:after="60" w:before="200"/>
        <w:ind w:firstLine="567"/>
        <w:jc w:val="left"/>
      </w:pPr>
      <w:r>
        <w:rPr>
          <w:rFonts w:ascii="Arial" w:cs="Arial" w:eastAsia="Arial" w:hAnsi="Arial"/>
          <w:b/>
          <w:bCs/>
          <w:sz w:val="24"/>
          <w:szCs w:val="24"/>
        </w:rPr>
        <w:t xml:space="preserve">Раздел II. Мониторинг, отчетность и оценка Проекта</w:t>
      </w:r>
    </w:p>
    <w:p>
      <w:pPr>
        <w:spacing w:after="60" w:before="200"/>
        <w:ind w:firstLine="567"/>
        <w:jc w:val="left"/>
      </w:pPr>
      <w:r>
        <w:rPr>
          <w:rFonts w:ascii="Arial" w:cs="Arial" w:eastAsia="Arial" w:hAnsi="Arial"/>
          <w:b/>
          <w:bCs/>
          <w:sz w:val="24"/>
          <w:szCs w:val="24"/>
        </w:rPr>
        <w:t xml:space="preserve">А. Отчеты Проекта, Отчет о завершении Проекта</w:t>
      </w:r>
    </w:p>
    <w:p>
      <w:pPr>
        <w:spacing w:after="60"/>
        <w:ind w:firstLine="567"/>
        <w:jc w:val="both"/>
      </w:pPr>
      <w:r>
        <w:rPr>
          <w:rFonts w:ascii="Arial" w:cs="Arial" w:eastAsia="Arial" w:hAnsi="Arial"/>
          <w:sz w:val="24"/>
          <w:szCs w:val="24"/>
        </w:rPr>
        <w:t xml:space="preserve">1. Получатель осуществляет мониторинг и оценку хода реализации Проекта, а также составляет отчеты по Проекту в соответствии с положениями Раздела 2.06 "Стандартных условий" и на основе приемлемых для Всемирного банка показателей. Каждый отчет по Проекту охватывает период продолжительностью одно календарное полугодие и должен быть представлен во Всемирный банк не позднее одного месяца после окончания охватываемого этим отчетом периода.</w:t>
      </w:r>
    </w:p>
    <w:p>
      <w:pPr>
        <w:spacing w:after="60"/>
        <w:ind w:firstLine="567"/>
        <w:jc w:val="both"/>
      </w:pPr>
      <w:r>
        <w:rPr>
          <w:rFonts w:ascii="Arial" w:cs="Arial" w:eastAsia="Arial" w:hAnsi="Arial"/>
          <w:sz w:val="24"/>
          <w:szCs w:val="24"/>
        </w:rPr>
        <w:t xml:space="preserve">2. Получатель составляет Отчет о завершении Проекта в соответствии с положениями Раздела 2.06 "Стандартных условий". Отчет о завершении Проекта должен быть представлен Всемирному банку не позднее шести месяцев после наступления Даты завершения Проекта.</w:t>
      </w:r>
    </w:p>
    <w:p>
      <w:pPr>
        <w:spacing w:after="60" w:before="200"/>
        <w:ind w:firstLine="567"/>
        <w:jc w:val="left"/>
      </w:pPr>
      <w:r>
        <w:rPr>
          <w:rFonts w:ascii="Arial" w:cs="Arial" w:eastAsia="Arial" w:hAnsi="Arial"/>
          <w:b/>
          <w:bCs/>
          <w:sz w:val="24"/>
          <w:szCs w:val="24"/>
        </w:rPr>
        <w:t xml:space="preserve">В. Финансовое управление; финансовые отчеты; аудиторские проверки</w:t>
      </w:r>
    </w:p>
    <w:p>
      <w:pPr>
        <w:spacing w:after="60"/>
        <w:ind w:firstLine="567"/>
        <w:jc w:val="both"/>
      </w:pPr>
      <w:r>
        <w:rPr>
          <w:rFonts w:ascii="Arial" w:cs="Arial" w:eastAsia="Arial" w:hAnsi="Arial"/>
          <w:sz w:val="24"/>
          <w:szCs w:val="24"/>
        </w:rPr>
        <w:t xml:space="preserve">1. Получатель обеспечивает ведение системы финансового управления в соответствии с положениями Раздела 2.07 "Стандартных условий".</w:t>
      </w:r>
    </w:p>
    <w:p>
      <w:pPr>
        <w:spacing w:after="60"/>
        <w:ind w:firstLine="567"/>
        <w:jc w:val="both"/>
      </w:pPr>
      <w:r>
        <w:rPr>
          <w:rFonts w:ascii="Arial" w:cs="Arial" w:eastAsia="Arial" w:hAnsi="Arial"/>
          <w:sz w:val="24"/>
          <w:szCs w:val="24"/>
        </w:rPr>
        <w:t xml:space="preserve">2. Получатель обеспечивает составление и представление Всемирному банку промежуточных непроверенных финансовых отчетов по Проекту, охватывающих квартал и имеющих форму и содержание, удовлетворяющие Всемирный банк, в течение одного месяца после окончания каждого календарного квартала.</w:t>
      </w:r>
    </w:p>
    <w:p>
      <w:pPr>
        <w:spacing w:after="60"/>
        <w:ind w:firstLine="567"/>
        <w:jc w:val="both"/>
      </w:pPr>
      <w:r>
        <w:rPr>
          <w:rFonts w:ascii="Arial" w:cs="Arial" w:eastAsia="Arial" w:hAnsi="Arial"/>
          <w:sz w:val="24"/>
          <w:szCs w:val="24"/>
        </w:rPr>
        <w:t xml:space="preserve">3. Получатель обеспечивает аудит финансовых отчетов Проекта в соответствии с положениями Раздела 2.07 (</w:t>
      </w:r>
      <w:r>
        <w:rPr>
          <w:rFonts w:ascii="Arial" w:cs="Arial" w:eastAsia="Arial" w:hAnsi="Arial"/>
          <w:sz w:val="24"/>
          <w:szCs w:val="24"/>
        </w:rPr>
        <w:t xml:space="preserve">b</w:t>
      </w:r>
      <w:r>
        <w:rPr>
          <w:rFonts w:ascii="Arial" w:cs="Arial" w:eastAsia="Arial" w:hAnsi="Arial"/>
          <w:sz w:val="24"/>
          <w:szCs w:val="24"/>
        </w:rPr>
        <w:t xml:space="preserve">) "Стандартных условий". Такой аудит финансовых отчетов охватывает весь период, на протяжении которого осуществлялась выборка средств со Счета Гранта. Проверенные финансовые отчеты за такой период должны быть представлены во Всемирный банк в течение шести месяцев после завершения такого периода.</w:t>
      </w:r>
    </w:p>
    <w:p>
      <w:pPr>
        <w:spacing w:after="60" w:before="200"/>
        <w:ind w:firstLine="567"/>
        <w:jc w:val="left"/>
      </w:pPr>
      <w:r>
        <w:rPr>
          <w:rFonts w:ascii="Arial" w:cs="Arial" w:eastAsia="Arial" w:hAnsi="Arial"/>
          <w:b/>
          <w:bCs/>
          <w:sz w:val="24"/>
          <w:szCs w:val="24"/>
        </w:rPr>
        <w:t xml:space="preserve">Раздел III. Закупки</w:t>
      </w:r>
    </w:p>
    <w:p>
      <w:pPr>
        <w:spacing w:after="60" w:before="200"/>
        <w:ind w:firstLine="567"/>
        <w:jc w:val="left"/>
      </w:pPr>
      <w:r>
        <w:rPr>
          <w:rFonts w:ascii="Arial" w:cs="Arial" w:eastAsia="Arial" w:hAnsi="Arial"/>
          <w:b/>
          <w:bCs/>
          <w:sz w:val="24"/>
          <w:szCs w:val="24"/>
        </w:rPr>
        <w:t xml:space="preserve">А. Общие принципы</w:t>
      </w:r>
    </w:p>
    <w:p>
      <w:pPr>
        <w:spacing w:after="60"/>
        <w:ind w:firstLine="567"/>
        <w:jc w:val="both"/>
      </w:pPr>
      <w:r>
        <w:rPr>
          <w:rFonts w:ascii="Arial" w:cs="Arial" w:eastAsia="Arial" w:hAnsi="Arial"/>
          <w:sz w:val="24"/>
          <w:szCs w:val="24"/>
        </w:rPr>
        <w:t xml:space="preserve">1. Руководящие принципы по закупке услуг консультантов. Закупка всех необходимых для Проекта товаров, неконсультационных и консультационных услуг, подлежащих финансированию из средств Гранта, производится в соответствии с требованиями, излагаемыми или упоминаемыми в:</w:t>
      </w:r>
    </w:p>
    <w:p>
      <w:pPr>
        <w:spacing w:after="60"/>
        <w:ind w:firstLine="567"/>
        <w:jc w:val="both"/>
      </w:pPr>
      <w:r>
        <w:rPr>
          <w:rFonts w:ascii="Arial" w:cs="Arial" w:eastAsia="Arial" w:hAnsi="Arial"/>
          <w:sz w:val="24"/>
          <w:szCs w:val="24"/>
        </w:rPr>
        <w:t xml:space="preserve">(а) Разделе I "Руководства: закупки товаров, работ и неконсультационных услуг заемщиками Всемирного банка в рамках займов МБРР и кредитов и грантов МАР", датированного январем 2011 года (пересмотренного в июле 2014 года) ("Руководство по закупкам"), в случае закупки товаров и неконсультационных услуг;</w:t>
      </w:r>
    </w:p>
    <w:p>
      <w:pPr>
        <w:spacing w:after="60"/>
        <w:ind w:firstLine="567"/>
        <w:jc w:val="both"/>
      </w:pPr>
      <w:r>
        <w:rPr>
          <w:rFonts w:ascii="Arial" w:cs="Arial" w:eastAsia="Arial" w:hAnsi="Arial"/>
          <w:sz w:val="24"/>
          <w:szCs w:val="24"/>
        </w:rPr>
        <w:t xml:space="preserve">(b) Разделах I и IV "Руководства по отбору и найму консультантов заемщиками Всемирного банка по займам МБРР и кредитам и грантам МАР", датированного январем 2011 года (пересмотренного в июле 2014 г.) ("Руководство по отбору консультантов") в случае закупки услуг консультантов; а также</w:t>
      </w:r>
    </w:p>
    <w:p>
      <w:pPr>
        <w:spacing w:after="60"/>
        <w:ind w:firstLine="567"/>
        <w:jc w:val="both"/>
      </w:pPr>
      <w:r>
        <w:rPr>
          <w:rFonts w:ascii="Arial" w:cs="Arial" w:eastAsia="Arial" w:hAnsi="Arial"/>
          <w:sz w:val="24"/>
          <w:szCs w:val="24"/>
        </w:rPr>
        <w:t xml:space="preserve">(c) положениях настоящего Раздела III, так как подобные положения должны быть разработаны в плане закупок, подготовленном и время от времени обновляемом Получателем по Проекту в соответствии с пунктом 1.18 "Руководства по закупкам" и пунктом 1.25 "Руководства по отбору консультантов" ("План закупок").</w:t>
      </w:r>
    </w:p>
    <w:p>
      <w:pPr>
        <w:spacing w:after="60"/>
        <w:ind w:firstLine="567"/>
        <w:jc w:val="both"/>
      </w:pPr>
      <w:r>
        <w:rPr>
          <w:rFonts w:ascii="Arial" w:cs="Arial" w:eastAsia="Arial" w:hAnsi="Arial"/>
          <w:sz w:val="24"/>
          <w:szCs w:val="24"/>
        </w:rPr>
        <w:t xml:space="preserve">2. Определения. Термины, которые обозначены заглавными буквами и используются для описания отдельных методов закупок или методов рассмотрения отдельных контрактов Всемирным банком, относятся к соответствующим методам, описываемым в Разделах II, III, IV и V "Руководства по отбору консультантов".</w:t>
      </w:r>
    </w:p>
    <w:p>
      <w:pPr>
        <w:spacing w:after="60"/>
        <w:ind w:firstLine="567"/>
        <w:jc w:val="both"/>
      </w:pPr>
      <w:r>
        <w:rPr>
          <w:rFonts w:ascii="Arial" w:cs="Arial" w:eastAsia="Arial" w:hAnsi="Arial"/>
          <w:sz w:val="24"/>
          <w:szCs w:val="24"/>
        </w:rPr>
        <w:t xml:space="preserve">B. Частные методы закупок товаров и неконсультационных услуг. Закупки товаров и неконсультационных услуг должны осуществляться в рамках контрактов, присуждаемых на основе метода "Шопинг".</w:t>
      </w:r>
    </w:p>
    <w:p>
      <w:pPr>
        <w:spacing w:after="60" w:before="200"/>
        <w:ind w:firstLine="567"/>
        <w:jc w:val="left"/>
      </w:pPr>
      <w:r>
        <w:rPr>
          <w:rFonts w:ascii="Arial" w:cs="Arial" w:eastAsia="Arial" w:hAnsi="Arial"/>
          <w:b/>
          <w:bCs/>
          <w:sz w:val="24"/>
          <w:szCs w:val="24"/>
        </w:rPr>
        <w:t xml:space="preserve">C. Частные методы закупок консультационных услуг</w:t>
      </w:r>
    </w:p>
    <w:p>
      <w:pPr>
        <w:spacing w:after="60"/>
        <w:ind w:firstLine="567"/>
        <w:jc w:val="both"/>
      </w:pPr>
      <w:r>
        <w:rPr>
          <w:rFonts w:ascii="Arial" w:cs="Arial" w:eastAsia="Arial" w:hAnsi="Arial"/>
          <w:sz w:val="24"/>
          <w:szCs w:val="24"/>
        </w:rPr>
        <w:t xml:space="preserve">1. Отбор на основе качества и стоимости. Если иное не предусмотрено в пункте 2 ниже, закупка консультационных услуг должна осуществляться в рамках контрактов, присуждаемых в результате Отбора на основе качества и стоимости.</w:t>
      </w:r>
    </w:p>
    <w:p>
      <w:pPr>
        <w:spacing w:after="60"/>
        <w:ind w:firstLine="567"/>
        <w:jc w:val="both"/>
      </w:pPr>
      <w:r>
        <w:rPr>
          <w:rFonts w:ascii="Arial" w:cs="Arial" w:eastAsia="Arial" w:hAnsi="Arial"/>
          <w:sz w:val="24"/>
          <w:szCs w:val="24"/>
        </w:rPr>
        <w:t xml:space="preserve">2. Прочие методы закупки консультационных услуг. Для закупки услуг консультантов для выполнения заданий, которые указаны в Плане закупок, могут быть использованы следующие методы, отличающиеся от Отбора на основании качества и цены: (а) Отбор на основе качества; (</w:t>
      </w:r>
      <w:r>
        <w:rPr>
          <w:rFonts w:ascii="Arial" w:cs="Arial" w:eastAsia="Arial" w:hAnsi="Arial"/>
          <w:sz w:val="24"/>
          <w:szCs w:val="24"/>
        </w:rPr>
        <w:t xml:space="preserve">b</w:t>
      </w:r>
      <w:r>
        <w:rPr>
          <w:rFonts w:ascii="Arial" w:cs="Arial" w:eastAsia="Arial" w:hAnsi="Arial"/>
          <w:sz w:val="24"/>
          <w:szCs w:val="24"/>
        </w:rPr>
        <w:t xml:space="preserve">) Отбор в условиях фиксированного бюджета; (с) Отбор на основе самой низкой цены; (d) Отбор на основе квалификации консультантов; (е) Отбор консалтинговых компаний методом из единого источника; (f) Отбор индивидуальных консультантов; (g) Процедура отбора из одного источника для отбора индивидуальных консультантов.</w:t>
      </w:r>
    </w:p>
    <w:p>
      <w:pPr>
        <w:spacing w:after="60" w:before="200"/>
        <w:ind w:firstLine="567"/>
        <w:jc w:val="left"/>
      </w:pPr>
      <w:r>
        <w:rPr>
          <w:rFonts w:ascii="Arial" w:cs="Arial" w:eastAsia="Arial" w:hAnsi="Arial"/>
          <w:b/>
          <w:bCs/>
          <w:sz w:val="24"/>
          <w:szCs w:val="24"/>
        </w:rPr>
        <w:t xml:space="preserve">D. Проверка Всемирным банком решений по закупкам</w:t>
      </w:r>
    </w:p>
    <w:p>
      <w:pPr>
        <w:spacing w:after="60"/>
        <w:ind w:firstLine="567"/>
        <w:jc w:val="both"/>
      </w:pPr>
      <w:r>
        <w:rPr>
          <w:rFonts w:ascii="Arial" w:cs="Arial" w:eastAsia="Arial" w:hAnsi="Arial"/>
          <w:sz w:val="24"/>
          <w:szCs w:val="24"/>
        </w:rPr>
        <w:t xml:space="preserve">План закупок оговаривает те контракты, которые подлежат предварительной проверке Всемирным банком. Все другие контракты подлежат проверке Всемирным банком после их выполнения.</w:t>
      </w:r>
    </w:p>
    <w:p>
      <w:pPr>
        <w:spacing w:after="60" w:before="200"/>
        <w:ind w:firstLine="567"/>
        <w:jc w:val="left"/>
      </w:pPr>
      <w:r>
        <w:rPr>
          <w:rFonts w:ascii="Arial" w:cs="Arial" w:eastAsia="Arial" w:hAnsi="Arial"/>
          <w:b/>
          <w:bCs/>
          <w:sz w:val="24"/>
          <w:szCs w:val="24"/>
        </w:rPr>
        <w:t xml:space="preserve">Раздел IV. Выборка средств Гранта</w:t>
      </w:r>
    </w:p>
    <w:p>
      <w:pPr>
        <w:spacing w:after="60" w:before="200"/>
        <w:ind w:firstLine="567"/>
        <w:jc w:val="left"/>
      </w:pPr>
      <w:r>
        <w:rPr>
          <w:rFonts w:ascii="Arial" w:cs="Arial" w:eastAsia="Arial" w:hAnsi="Arial"/>
          <w:b/>
          <w:bCs/>
          <w:sz w:val="24"/>
          <w:szCs w:val="24"/>
        </w:rPr>
        <w:t xml:space="preserve">A. Общие положения</w:t>
      </w:r>
    </w:p>
    <w:p>
      <w:pPr>
        <w:spacing w:after="60"/>
        <w:ind w:firstLine="567"/>
        <w:jc w:val="both"/>
      </w:pPr>
      <w:r>
        <w:rPr>
          <w:rFonts w:ascii="Arial" w:cs="Arial" w:eastAsia="Arial" w:hAnsi="Arial"/>
          <w:sz w:val="24"/>
          <w:szCs w:val="24"/>
        </w:rPr>
        <w:t xml:space="preserve">Получатель может производить выборку средств Гранта в соответствии с положениями: (а) Статьи III "Стандартных условий"; (</w:t>
      </w:r>
      <w:r>
        <w:rPr>
          <w:rFonts w:ascii="Arial" w:cs="Arial" w:eastAsia="Arial" w:hAnsi="Arial"/>
          <w:sz w:val="24"/>
          <w:szCs w:val="24"/>
        </w:rPr>
        <w:t xml:space="preserve">b</w:t>
      </w:r>
      <w:r>
        <w:rPr>
          <w:rFonts w:ascii="Arial" w:cs="Arial" w:eastAsia="Arial" w:hAnsi="Arial"/>
          <w:sz w:val="24"/>
          <w:szCs w:val="24"/>
        </w:rPr>
        <w:t xml:space="preserve">) данного Раздела; и (с) дополнительных инструкций, которые могут быть отдельно указаны Всемирным банком в форме уведомления Получателю (включая "Руководство Всемирного банка по предоставлению средств на реализацию проектов", датированное маем 2006 года, периодически пересматриваемое Всемирным банком и применимое к данному Соглашению в соответствии с такими инструкциями), для финансирования 100% Допустимых расходов, состоящих из расходов на услуги консультантов, обучение и операционные расходы, включая налоги.</w:t>
      </w:r>
    </w:p>
    <w:p>
      <w:pPr>
        <w:spacing w:after="60" w:before="200"/>
        <w:ind w:firstLine="567"/>
        <w:jc w:val="left"/>
      </w:pPr>
      <w:r>
        <w:rPr>
          <w:rFonts w:ascii="Arial" w:cs="Arial" w:eastAsia="Arial" w:hAnsi="Arial"/>
          <w:b/>
          <w:bCs/>
          <w:sz w:val="24"/>
          <w:szCs w:val="24"/>
        </w:rPr>
        <w:t xml:space="preserve">B. Условия выборки средств. Период выборки средств</w:t>
      </w:r>
    </w:p>
    <w:p>
      <w:pPr>
        <w:spacing w:after="60"/>
        <w:ind w:firstLine="567"/>
        <w:jc w:val="both"/>
      </w:pPr>
      <w:r>
        <w:rPr>
          <w:rFonts w:ascii="Arial" w:cs="Arial" w:eastAsia="Arial" w:hAnsi="Arial"/>
          <w:sz w:val="24"/>
          <w:szCs w:val="24"/>
        </w:rPr>
        <w:t xml:space="preserve">1. Независимо от положений Раздела 3.01 настоящего Соглашения, не допускается выборка средств для финансирования выплат, осуществленных до даты подписания Получателем настоящего Соглашения.</w:t>
      </w:r>
    </w:p>
    <w:p>
      <w:pPr>
        <w:spacing w:after="60"/>
        <w:ind w:firstLine="567"/>
        <w:jc w:val="both"/>
      </w:pPr>
      <w:r>
        <w:rPr>
          <w:rFonts w:ascii="Arial" w:cs="Arial" w:eastAsia="Arial" w:hAnsi="Arial"/>
          <w:sz w:val="24"/>
          <w:szCs w:val="24"/>
        </w:rPr>
        <w:t xml:space="preserve">2. Датой закрытия, упоминаемой в Разделе 3.06 (с) "Стандартных условий", является 31 декабря 2015 г.</w:t>
      </w:r>
    </w:p>
    <w:p>
      <w:pPr>
        <w:spacing w:after="400" w:before="400"/>
        <w:jc w:val="center"/>
      </w:pPr>
      <w:r>
        <w:rPr>
          <w:rFonts w:ascii="Arial" w:cs="Arial" w:eastAsia="Arial" w:hAnsi="Arial"/>
          <w:b/>
          <w:bCs/>
          <w:sz w:val="32"/>
          <w:szCs w:val="32"/>
        </w:rPr>
        <w:t xml:space="preserve">Приложение</w:t>
      </w:r>
    </w:p>
    <w:p>
      <w:pPr>
        <w:spacing w:after="60"/>
        <w:ind w:firstLine="567"/>
        <w:jc w:val="both"/>
      </w:pPr>
      <w:r>
        <w:rPr>
          <w:rFonts w:ascii="Arial" w:cs="Arial" w:eastAsia="Arial" w:hAnsi="Arial"/>
          <w:sz w:val="24"/>
          <w:szCs w:val="24"/>
        </w:rPr>
        <w:t xml:space="preserve">1. "ОРСП" означает Отдел реализации сельскохозяйственных проектов - подразделение, образованное в структуре МСХМ Получателя.</w:t>
      </w:r>
    </w:p>
    <w:p>
      <w:pPr>
        <w:spacing w:after="60"/>
        <w:ind w:firstLine="567"/>
        <w:jc w:val="both"/>
      </w:pPr>
      <w:r>
        <w:rPr>
          <w:rFonts w:ascii="Arial" w:cs="Arial" w:eastAsia="Arial" w:hAnsi="Arial"/>
          <w:sz w:val="24"/>
          <w:szCs w:val="24"/>
        </w:rPr>
        <w:t xml:space="preserve">2. "АРИС" означает Агентство развития и инвестирования сообществ Получателя.</w:t>
      </w:r>
    </w:p>
    <w:p>
      <w:pPr>
        <w:spacing w:after="60"/>
        <w:ind w:firstLine="567"/>
        <w:jc w:val="both"/>
      </w:pPr>
      <w:r>
        <w:rPr>
          <w:rFonts w:ascii="Arial" w:cs="Arial" w:eastAsia="Arial" w:hAnsi="Arial"/>
          <w:sz w:val="24"/>
          <w:szCs w:val="24"/>
        </w:rPr>
        <w:t xml:space="preserve">3. "МСХМ" означает Министерство сельского хозяйства и мелиорации Получателя, или любого его правопреемника или правопреемников.</w:t>
      </w:r>
    </w:p>
    <w:p>
      <w:pPr>
        <w:spacing w:after="60"/>
        <w:ind w:firstLine="567"/>
        <w:jc w:val="both"/>
      </w:pPr>
      <w:r>
        <w:rPr>
          <w:rFonts w:ascii="Arial" w:cs="Arial" w:eastAsia="Arial" w:hAnsi="Arial"/>
          <w:sz w:val="24"/>
          <w:szCs w:val="24"/>
        </w:rPr>
        <w:t xml:space="preserve">4. "Департамент пастбищ" означает департамент, образованный в структуре МСХМ, или любого его правопреемника или правопреемников.</w:t>
      </w:r>
    </w:p>
    <w:p>
      <w:pPr>
        <w:spacing w:after="60"/>
        <w:ind w:firstLine="567"/>
        <w:jc w:val="both"/>
      </w:pPr>
      <w:r>
        <w:rPr>
          <w:rFonts w:ascii="Arial" w:cs="Arial" w:eastAsia="Arial" w:hAnsi="Arial"/>
          <w:sz w:val="24"/>
          <w:szCs w:val="24"/>
        </w:rPr>
        <w:t xml:space="preserve">5. "Операционные расходы" означают приемлемые расходы, одобренные Всемирным банком, на покрытие приростных расходов, возникающих в связи с реализацией Проекта и состоящих из расходов на эксплуатацию и техническое обслуживание транспортных средств, услуги связи и страхования, выплаты комиссионных банкам, аренду и содержание офисных помещений, оплату коммунальных услуг, копирование/печать документов, услуги устного и письменного перевода, расходные материалы, оплату транспортных расходов и выплату суточных сотрудникам Проекта для поездок, связанных с реализацией Проекта, а также из расходов на выплату заработной платы работающему по контракту персоналу Проекта (но за исключением расходов на оплату услуг консультантов и выплату заработной платы служащим государственной службы Получателя).</w:t>
      </w:r>
    </w:p>
    <w:p>
      <w:pPr>
        <w:spacing w:after="60"/>
        <w:ind w:firstLine="567"/>
        <w:jc w:val="both"/>
      </w:pPr>
      <w:r>
        <w:rPr>
          <w:rFonts w:ascii="Arial" w:cs="Arial" w:eastAsia="Arial" w:hAnsi="Arial"/>
          <w:sz w:val="24"/>
          <w:szCs w:val="24"/>
        </w:rPr>
        <w:t xml:space="preserve">6. "ПУУПЖ" означает Проект улучшения управления пастбищами и животноводством - предлагаемый Проект, который будет передан на рассмотрение Совету директоров Всемирного банка, с целью финансирования расходов на расширение равного доступа к пастбищам, повышение производительности животноводства и сокращение в долгосрочной перспективе деградации пастбищ на участках реализации Проекта на территории Получателя.</w:t>
      </w:r>
    </w:p>
    <w:p>
      <w:pPr>
        <w:spacing w:after="60"/>
        <w:ind w:firstLine="567"/>
        <w:jc w:val="both"/>
      </w:pPr>
      <w:r>
        <w:rPr>
          <w:rFonts w:ascii="Arial" w:cs="Arial" w:eastAsia="Arial" w:hAnsi="Arial"/>
          <w:sz w:val="24"/>
          <w:szCs w:val="24"/>
        </w:rPr>
        <w:t xml:space="preserve">7. "Сельские консультационные службы" означает индивидуального консультанта или организацию различных правовых форм, включая неправительственные организации, фонды или ассоциации консультантов, осуществляющие свою деятельность на территории Получателя.</w:t>
      </w:r>
    </w:p>
    <w:p>
      <w:pPr>
        <w:spacing w:after="60"/>
        <w:ind w:firstLine="567"/>
        <w:jc w:val="both"/>
      </w:pPr>
      <w:r>
        <w:rPr>
          <w:rFonts w:ascii="Arial" w:cs="Arial" w:eastAsia="Arial" w:hAnsi="Arial"/>
          <w:sz w:val="24"/>
          <w:szCs w:val="24"/>
        </w:rPr>
        <w:t xml:space="preserve">8. "Обучение" означает приемлемые расходы, одобренные Всемирном банком, на тренинги и семинары, проводимые в рамках Проекта, включая плату за обучение, транспортные расходы и выплату суточных участникам тренингов и семинаров, затраты, связанные с оплатой услуг инструкторов и лекторов на семинарах, оплату аренды помещений для тренингов и семинаров, расходы на составление и копирование материалов для тренингов и семинаров, а также иные расходы, непосредственно связанные с подготовкой и проведением учебного курса и семинаров (но не считая товары и услуги консультантов).</w:t>
      </w:r>
    </w:p>
    <w:p>
      <w:pPr>
        <w:spacing w:after="60"/>
        <w:ind w:firstLine="567"/>
        <w:jc w:val="both"/>
      </w:pPr>
      <w:r>
        <w:rPr>
          <w:rFonts w:ascii="Arial" w:cs="Arial" w:eastAsia="Arial" w:hAnsi="Arial"/>
          <w:sz w:val="24"/>
          <w:szCs w:val="24"/>
        </w:rPr>
        <w:t xml:space="preserve">9. "Ветеринарная палата" означает независимую некоммерческую организацию, образованную и осуществляющую свою деятельность на территории Получателя в соответствии со своим Уставом от 25 апреля 2011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dzwoacii1_2utp9t72aq" Type="http://schemas.openxmlformats.org/officeDocument/2006/relationships/hyperlink" Target="http://kodeks.duckdns.org/document/214509#p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2026-09-23T09:34:33.091Z</dcterms:created>
  <dcterms:modified xsi:type="dcterms:W3CDTF">2026-09-23T09:34:33.091Z</dcterms:modified>
</cp:coreProperties>
</file>

<file path=docProps/custom.xml><?xml version="1.0" encoding="utf-8"?>
<Properties xmlns="http://schemas.openxmlformats.org/officeDocument/2006/custom-properties" xmlns:vt="http://schemas.openxmlformats.org/officeDocument/2006/docPropsVTypes"/>
</file>