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159-p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Соглашения о финансировании между Кыргызской Республикой и Международной ассоциацией развития по проекту "Образование для будущего".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проекта Соглашения от имени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 6563-KG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 D573-KG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финансировании между Кыргызской Республикой и Международной ассоциацией развития по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проекту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"Образование для будущего"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("Получателем") и Международной ассоциацией развития ("Ассоциацией"), Получатель и Ассоциация настоящим договариваются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I. Общие условия;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к настоящему Соглашению и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соответствующие значения, закрепленные за ними Общими условиями или Дополнением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Ассоциация соглашается предоставить Получателю грант и кредит, которые считаются Льготным финансированием, для целей, изложенных в Общих условиях (в собирательном значении именуемые "Финансированием"), в следующих размерах для содействия финансированию Проекта, описываемого в Приложении 1 к настоящему Соглашению ("Проект"):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в размере, эквивалентном восемнадцати миллионам двумстам тысячам специальных прав заимствования (18200000 СПЗ) ("Грант");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в размере, эквивалентном восемнадцати миллионам двумстам тысячам специальных прав заимствования (18200000 СПЗ) ("Кредит").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2.02. Получатель может производить снятие средств Финансирования в соответствии с разделом III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2.03. 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2.04. Комиссия за обслуживание Снятого остатка кредитных средств составляет три четвертых от одного процента (3/4 от 1%)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2.05. Сроками платежа являются 15 марта и 15 сентября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2.06. Основная сумма Кредита выплачивается в соответствии с графиком погашения, представленным в Приложении 3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2.07. Валютой платежа является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III.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Получатель заявляет о своей приверженности цели Проекта. В этой связи, Получатель обязуется реализовать Проект через МОН в соответствии с положениями Статьи V Общих условий и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IV. Вступление в силу;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Дополнительные условия вступления в силу заключаются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Получатель учреждает ОКП с персоналом, ресурсами и техническими заданиями, удовлетворительными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Получатель, действуя через МОН, принимает ОР (операционное руководство), удовлетворительное для Ассоциации по форме и 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Окончательным Сроком вступления в силу является срок, наступающий через сто двадцать (120) дней после Даты подписания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4.03. Для целей раздела 10.05 (b) Общих условий срок прекращения обязательств Получателя по настоящему Соглашению (за исключением тех, которые предусматривают платежные обязательства) составляет двадцать (20) лет после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V. Представитель;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 является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11.01 Общих условий: (а) адрес Получателя: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 NUR 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(996 312) 661645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11.01 Общих условий: (а) адрес Ассоциации: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электронный адрес Ассоциации: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дату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Международной ассоциации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подготовки детей к школе и повышение эффективности работы учителей классов дошкольной подготовки и средней школы в целевых сообществах.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частей: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1. Улучшение преподавания 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в целях расширения равного доступа к качественному образованию для детей дошкольного возраста и повышения эффективности практики преподавания и обучения в дошкольных учреждениях и в образовательных организациях среднего уровня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Расширение возможностей подготовки к школе детей с недостаточным уровнем обеспеченности образовательными услугами посредством: (i) создания около 500 новых общинных детских садов (ОДС); и (ii) предоставления указанным ОДС мебели, оборудования и материалов для игр и обучения, игровых площадок открытого типа и выполнение мелких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Повышение эффективности практики преподавания через совершенствование разработки учебных программ подготовки учителей и их обучение в соответствии с новыми учебными планами, стандартами и методиками в соответствии с наукой об образовании, в том числе: (i) внедрение программы подготовки вновь нанятых в ОДС учителей; (ii) разработка усовершенствованных программ обучения учителей; (iii) подготовка учителей по проблемам изменения климата и вопросам, связанным с включением экологического содержания в учебные программы; (iv) наращивание потенциала преподавателей для реализации программ в РИПК и ППР, и ОИПКУ (республиканском и областных институтах повышения квалификации учителей), а также в педагогических колледжах, в которых проводится профессиональное обучение учителей; (v) обеспечение вышеупомянутой базовой программы обучения компьютерной грамотности для учителей, работающих в школах, отобранных для получения ИТ-платформы; (vi) предоставление программы подготовки по улучшению и корректированию навыков чтения, а также программы по педагогике учителям начальных классов и учителям математики и естественных наук средней школы, соответственно, в отобранных школах; и (vii) институционализация методики наблюдений в классе для оценивания и улучшения практики преподавания.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Технологическая поддержка обучения, направленная на укрепление потенциала учителей в целях эффективного преподавания, с помощью цифровых ресурсов, приведенных в соответствие с новой учебной программой, дополняющей новые учебники, через: (i) создание ИТ-платформы для, приблизительно, 1200 школ, включая поставку электронной библиотеки, шести мультимедийных классов и ИТ-оборудования для учителей и школьных администраторов; (ii) создание ИТ-платформы для РИПК и ППР для разработки цифрового контента в целях профессионального развития учителей; (iii) создание ИТ-классов в определенных учебных заведениях, в которых проводится профессиональное обучение учителей, в целях повышения их эффективности в подготовке новых учителей в области компьютерной грамотности и других сферах; и (iv) оказание технической помощи в области языкового перевода, адаптации и разработки цифрового контента.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Укрепление потенциала в области измерения обучения для улучшения процесса измерения практики преподавания и обучения учащихся путем совершенствования разработки и администрирования различных инструментов оценивания и результатов обучения, включая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формативное оценивание в целях улучшения практики преподавания и обучения на уровне класса и на индивидуальном уровне посредством: (а) предоставления технической помощи КАО и НЦОКО и ИТ в разработке нового инструмента, критериального оценивания и методологии мониторинга, формативного оценивания и отчетности о прогрессе учащихся для использования учителями начальной школы; надзор за пилотированием инструмента в школах; разработка учебных или ориентационных материалов для учителей с целью разъяснения новой системы, а также коммуникационной стратегии и материалов для представителей заинтересованных сторон; и (b) подготовки преподавателей и методистов в РИПК и ППР/ОИПКУ, и в учебных заведениях по профессиональной подготовке учителей с тем, чтобы использование инструмента можно было интегрировать в программы подготовки и профессионального развития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суммативное/итоговое оценивание с целью принятия решений высокой значимости в отношении отдельных учащихся путем: (а) оказания поддержки НЦОКО и ИТ в разработке и внедрении стандартизированных тестов для 4 и 8 классов; (b) технической поддержки в создании потенциала НЦОКО и ИТ в области разработки и составлении тестов, анализа и представления результатов, а также поддержки в разработке регулирующих документов и во внесении изменений в нормативно-правовую базу; и (с) обеспечения профессиональной подготовки/ориентирования должностных лиц в районных отделах образования и всех заместителей директоров школ, уделяя особое внимание протоколам и процедурам администрирования и выставления отметок, а также анализа и использования результатов на внутришкольном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системное оценивание с целью определения качества обучения на уровне системы и выявления связанных с этим факторов, прежде всего для принятия мер в области политики и укрепления системы посредством: (а) проведения анализа результатов EGRA ("Оценка навыков чтения учащихся начальных классов") в целях содействия разработке программ коррективного чтения и мониторинга хода обучения в раннем возрасте; (b) оказания технической помощи НЦОКО и ИТ в разработке и администрировании НООДУ в 4 и 8 классах, а также в анализе и представлении результатов; (с) финансирования участия в реализуемой ОЭСР программе PISA 2024, включая расходы на подготовку, оплату за участие, администрирование и анализ результатов; и (d) оказания поддержки НЦОКО и ИТ в проведении экспериментальной оценки социально-эмоциональных навыков учащихся путем предоставления технической помощи и оплаты операционных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2. Управление реализацией Проекта для достижения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Оказание поддержки в реализации Проекта в следующих областях: (а) деятельность по управлению Проектом, включая общую координацию и надзор за реализацией Проекта, деятельность по коммуникации и информированию заинтересованных сторон, аудиторские проверки Проекта и финансирование операционных расходов по Проекту; (b) деятельность по мониторингу и оценке Проекта (МиО), обеспечение прозрачности и выстраивание обратной связи с гражданским сектором; (с) управление механизмом обратной связи с бенефициарами, включая механизм рассмотрения жалоб и взаимодействие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Оказание поддержки в разработке и проведении оценки воздействия Проекта в отношении: (а) улучшения развития детей в поддерживаемых Проектом ОДС путем администрирования инструмента раннего развития; и (b) совершенствования практики преподавания с использованием инструмента CLASS.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Механизмы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А. Институциональные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общего управления Проектом, его реализации и координации Получатель обязуется через МОН учредить и поддерживать ОКП с персоналом, ресурсами и техническими заданиями на уровне, удовлетворительном для Ассоциации, на протяжении всего периода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Получатель обязуется поддерживать Национальный наблюдательный комитет по координации программ и проектов в целях обеспечения стратегического руководства и надзора за Проектом, а также обеспечения межинституциональной координации.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Получатель через МОН обязуется: (а) реализовать Проект в соответствии с Операционным руководством Проекта на уровне, удовлетворительном для Ассоциации, и, в том числе, создать условия для институционального и финансового управления выплатами и закупками (в частности, внутренний контроль, бюджетирование, внешний аудит, а также политики и процедуры финансовой и бухгалтерской отчетности Проекта) в рамках реализации Проекта; и (b) не изменять, не приостанавливать, не отменять и не отказываться от соблюдения каких-либо положений Операционного руководства Проекта без предварительного письменного согласия Ассоциации. В случае каких-либо расхождений между положениями Операционного руководства Проекта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ограничения положений вышеизложенного пункта 1, Получатель обязуется не позднее, чем через тридцать (30) дней с Даты вступления в силу, установить бухгалтерское программное обеспечение, удовлетворяющее требованиям Ассоциации и Получателя в отношении отчетности и бухгалтерского учета; все вышеперечисленное должно соответствовать техническому заданию, приемлемому для Ассоциации.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B. Социально-экологические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обязуется обеспечить реализацию Проекта в соответствии с Социально-экологическими стандартами, в порядке, приемлемом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ограничения положений вышеизложенного пункта 1, Получатель обязуется обеспечить реализацию Проекта в соответствии с Планом социально-экологических обязательств (ПСЭО), в порядке, приемлемом для Ассоциации. С этой целью Получатель обязуется обеспечить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осуществление мер и действий, указанных в ПСЭО, с должной ответственностью и эффективностью, а также в соответствии с дополнительными положениями ПСЭО;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достаточность средств для покрытия расходов на реализацию ПСЭО;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поддержание политик, процедур и квалифицированного персонала с целью реализации ПСЭО в соответствии с дополнительными положениями ПСЭО;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недопущение изменения, пересмотра или отмены ПСЭО или любых его положений, за исключением случаев, когда Ассоциация дает свое согласие на это в письменной форме, с последующим представлением пересмотренного ПСЭО Получателем.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каких-либо расхождений между ПСЭО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принимать все меры со своей стороны, необходимые для сбора, компиляции и предоставления данных Ассоциации в виде регулярных отчетов, с периодичностью, указанной в ПСЭО, а также незамедлительно в виде отдельного отчета или отчетов по требованию Ассоциации, информации о статусе соблюдения требований ПСЭО (включая средства и инструменты управления, упомянутые в нем), при этом все подобные отчеты по форме и содержанию должны быть приемлемыми для Ассоциации, с определением, помимо прочего: (i) статуса реализации ПСЭО; (ii) условий, при их наличии, препятствующих реализации ПСЭО; и (iii) корректирующих и превентивных мер, принятых или необходимых для устранения таковых условий;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 уведомлять Ассоциацию о любых инцидентах или несчастных случаях, связанных с Проектом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 в соответствии с ПСЭО, упомянутыми в нем инструментами, а также Социально-экологическими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обязуется поддерживать и доводить до всеобщего сведения факт наличия механизма рассмотрения жалоб, по форме и содержанию удовлетворяющего требованиям Ассоциации, заслушивать и добросовестно выявлять все жалобы, возникшие в связи с Проектом, и принимать все необходимые меры по выполнению решений, принятых в соответствии с данным механизмом, на условиях, удовлетворительных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Мониторинг, отчетность и оценка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предоставлять Ассоциации каждый отчет по Проекту за календарное полугодие не позднее чем через месяц после окончания каждого календарного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Снятие средств финансирования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ограничения положений Статьи II Общих условий и в соответствии с Письмом о предоставлении средств и финансовой информации, Получатель может производить снятие средств финансирования с целью оплаты согласованных расходов в размере выделенной суммы, и, если применимо, в размере, не превышающем процент, установленный для каждой Категории в соответствии с таблицей ниже: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В. Условия снятия средств; период снятия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4"/>
        <w:gridCol w:w="1714"/>
        <w:gridCol w:w="2154"/>
        <w:gridCol w:w="1655"/>
        <w:gridCol w:w="2152"/>
      </w:tblGrid>
      <w:tr>
        <w:tc>
          <w:tcPr>
            <w:tcW w:type="dxa" w:w="2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выделенного Кредита (выраженный в СПЗ)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по Кредиту (включая налоги)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выделенного Гранта (выраженная в СПЗ)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по Гранту (включая налоги)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работы, неконсультационные услуги, консультационные услуги, расходы на обучение, операционные расходы и Оплата вступительного взноса и участия в реализуемой ОЭСР программе PISA 2024 для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18200000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18200000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18200000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18200000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Независимо от положений Части А выше, не допускается снятие средств для осуществления выплат до Даты подписания, за исключением того, что снятие средств, совокупный объем которых не превышает двадцать тысяч долларов США ($ 20000),</w:t>
      </w:r>
      <w:r>
        <w:rPr>
          <w:rFonts w:ascii="Arial" w:cs="Arial" w:eastAsia="Arial" w:hAnsi="Arial"/>
          <w:sz w:val="24"/>
          <w:szCs w:val="24"/>
        </w:rPr>
        <w:t xml:space="preserve"> может быть произведено для покрытия платежей, произведенных до этой даты, но не ранее 1 апреля 2020 года, для Согласованных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12"/>
        <w:gridCol w:w="4466"/>
      </w:tblGrid>
      <w:tr>
        <w:tc>
          <w:tcPr>
            <w:tcW w:type="dxa" w:w="5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4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сумма Кредита, подлежащая погашению (выраженная в процентах)(*)</w:t>
            </w:r>
          </w:p>
        </w:tc>
      </w:tr>
      <w:tr>
        <w:tc>
          <w:tcPr>
            <w:tcW w:type="dxa" w:w="5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и 15 сентября каждого года, начиная с 15 сентября 2026 года и заканчивая 15 марта 2058 года, включительно</w:t>
            </w:r>
          </w:p>
        </w:tc>
        <w:tc>
          <w:tcPr>
            <w:tcW w:type="dxa" w:w="4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1,5625%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Процентное значение представляет собой процент от основной суммы Кредита, подлежащей погашению, если иное не указано Ассоциацией в соответствии с Разделом 3.05 (b) Общих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"Руководство по противодействию коррупции" означает, для целей пункта 5 Дополнения к Общим условиям, "Руководство по предотвращению и пресечению мошенничества и коррупции при реализации проектов, финансируемых за счет займов МБРР и кредитов, и грантов МАР" ("Руководство по противодействию коррупции") от 15 октября 2006 года, с изменениями и дополнениями от января 2011 года, по состоянию на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"Категория" означает категорию, изложенную в таблице в Разделе III.А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"ОДС" означает общинный детский сад или общинные детские сады.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"Инструмент оценки работы в классе" или "CLASS" означает стандартизированный инструмент наблюдений над практикой преподавания в классе.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"Инструмент раннего развития" или "ИРР" означает заполняемый учителями табель, в котором оценивается готовность детей к обучению в школе по пяти параметрам: физическое здоровье и благополучие, социальная компетентность, эмоциональная зрелость, речевое и когнитивное развитие, а также навыки общения и общие 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"EGRA" означает оценку навыков чтения учащихся начальных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"План социально-экологических обязательств" или "ПСЭО" означает план социально-экологических обязательств Получателя, приемлемый для Ассоциации, датированный 4 февраля 2020 года, в котором излагается обобщение материальных мер и действий по устранению потенциальных экологических и социальных рисков и воздействий Проекта, в том числе сроки выполнения действий и мер, институциональные, кадровые, обучающие виды действий, мероприятия по мониторингу и отчетности, а также любые иные инструменты, которые будут подготовлены на основании этого плана; по мере пересмотра ПСЭО время от времени, с предварительного письменного согласия Ассоциации; и данный термин включает в себя любые дополнения или приложения к такому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Понятие "Социально-экологические стандарты" в совокупности означает: (i) "Социально-экологический стандарт 1: Оценка и управление социально-экологическими рисками и воздействиями"; (ii) "Социально-экологический стандарт 2: Рабочий персонал и условия труда"; (iii) "Социально-экологический стандарт 3: Рациональное использование ресурсов, предотвращение загрязнения окружающей среды и управление"; (iv) "Социально-экологический стандарт 4: Охрана здоровья и обеспечение безопасности населения"; (v) "Социально-экологический стандарт 5: Приобретение земли, ограничение права землепользования и принудительное переселение"; (vi) "Социально-экологический стандарт 6: Сохранение биологического разнообразия и устойчивое управление живыми природными ресурсами"; (vii) "Социально-экологический стандарт 7: Коренные народы/исторически незащищенные традиционные местные общины стран Африки к югу от Сахары"; (viii) "Социально-экологический стандарт 8: Культурное наследие"; (ix) "Социально-экологический стандарт 9: Финансовые посредники"; (х) "Социально-экологический стандарт 10: Взаимодействие с заинтересованными сторонами и раскрытие информации"; действующие с 1 октября 2018 года, опубликованные Ассоциацией на сайте https://www.worldbank.org/en/projects-operations/environmental-and-social-framework.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"Общие условия" означают "Общие условия Международной ассоциации развития для финансирования инвестиционных проектов МАР" от 14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"ИТ" означает информационные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"КАО" означает Кыргызскую академию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"МОН" означает Министерство образования и науки Кыргызской Республики Получателя или любого его 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"Национальный наблюдательный комитет по координации программ и проектов" означает комитет Получателя, учрежденный в соответствии с распоряжением Правительства Кыргызской Республики Получателя от 26 января 2018 года № 28-р, под председательством вице-премьер-министра Кыргызской Республики по социальным вопросам Получателя, и состоящий из представителей МФ, МОН, МКИТ, председателя Общественного наблюдательного совета МОН и председателя Координационного совета партнеров по развитию (КСПР).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"НОО" означает Национальное оценивание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"НЦОКО и ИТ" означают Национальный центр оценки качества образования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"НООДУ" означает национальное оценивание достижений учащихся на основе выборки.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"ОИПКУ" означает институты повышения квалификации учителей без отрыва от работы на местном уровне в областях, находящиеся в ведомственном подчинении МОН.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"Реализуемая ОЭСР Программа PISA 2024" означает международную программу оценивания достижений учащихся 2024, проводимую Организацией экономического сотрудничества и развития (ОЭСР).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"Операционные расходы" означают дополнительные операционные расходы, понесенные в связи с реализацией Проекта, его управлением, мониторингом и оценкой, включающие заработную плату нанятого персонала (но за исключением заработной платы, выплачиваемой должностным лицам государственной службы Получателя) и связанные с ней социальные отчисления, аренду помещений, канцелярские материалы и принадлежности, коммунальные услуги, расходы на связь, транспорт и техническое обслуживание транспортных средств, поддержку информационных систем, расходы на языковые переводы, банковские комиссии, командировочные и суточные расходы, связанные с управлением и реализацией Проекта, поддержка внедрения механизма обратной связи с бенефициарами и другие обоснованные расходы, непосредственно связанные с осуществлением деятельности по Проекту, полностью на основе годового бюджета,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"Оплата взноса за участие в реализуемой ОЭСР программе PISA 2024" означает взнос, который Правительство Кыргызской Республики должно будет  уплатить Организации экономического сотрудничества и развития за допуск и участие в Международной программе оценивания учащихся 2024.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"ОКП" означает Отдел координации Проекта при МОН, упомянутый в Разделе I.A.1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"Руководство по закупкам" означает, для целей пункта 87 Дополнения к Общим условиям, "Руководство по закупкам Всемирного банка для заемщиков ФИП" от июля 2016 года, с изменениями и дополнениями от ноября 2017 года и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"РайОО" означает районный отдел образования Получателя, учрежденный при МОН в соответствии с законодательством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"РИПК и ППР" означают Республиканский институт повышения квалификации и переподготовки педагогических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"Дата подписания" означает более позднюю из двух дат, в которую Получатель и Ассоциация подписали настоящее Соглашение, и данное определение распространяется на все упоминания "даты Соглашения о финансировании" в Общих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"Социальные отчисления" означают любые выплаты или взносы на медицинское страхование, пособия по безработице, страхование по инвалидности, страхование работников от несчастных случаев, пенсионные пособия (пенсии или пособия по социальному обеспечению), а также страхование жизни или любые другие пособия в соответствии с законодательством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"Обучение" означает расходы (за исключением расходов на консультационные услуги), понесенные Отделом координации проекта в связи с ознакомительными поездками, учебными курсами, семинарами, тренингами и другими учебными мероприятиями, не включенными в контракты с поставщиками товаров или услуг, в том числе расходы на учебные материалы, аренду помещений и оборудования, проезд, суточные расходы для обучаемых и тренеров, а также выплаты тренерам (если применимо), полностью на основе годового бюджета,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tp-qsxldpjtsymwp1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dalil.kg/document/218136</w:t>
      </w:r>
    </w:hyperlink>
  </w:p>
  <w:p>
    <w:pPr>
      <w:spacing w:after="0" w:before="40"/>
      <w:jc w:val="center"/>
    </w:pPr>
    <w:hyperlink w:history="1" r:id="rIdsgdoe6ttmngn4tza05d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tp-qsxldpjtsymwp18s" Type="http://schemas.openxmlformats.org/officeDocument/2006/relationships/hyperlink" Target="https://dalil.kg/document/218136" TargetMode="External"/><Relationship Id="rIdsgdoe6ttmngn4tza05d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2026-10-02T14:05:40.435Z</dcterms:created>
  <dcterms:modified xsi:type="dcterms:W3CDTF">2026-10-02T14:05:40.435Z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