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21 сентября 2020 года № 327-р</w:t>
      </w:r>
    </w:p>
    <w:p>
      <w:pPr>
        <w:spacing w:after="120"/>
        <w:jc w:val="both"/>
      </w:pPr>
      <w:r>
        <w:rPr>
          <w:rFonts w:ascii="Arial" w:cs="Arial" w:eastAsia="Arial" w:hAnsi="Arial"/>
          <w:sz w:val="24"/>
          <w:szCs w:val="24"/>
        </w:rPr>
        <w:t xml:space="preserve">В рамках проведения работы по облегчению бремени и реструктуризации государственного внешнего долга Кыргызской Республики и реализации договоренностей, указанных в Меморандуме о взаимопонимании об отсрочке обслуживания государственного внешнего долга между Правительством Кыргызской Республики и Парижским клубом, подписанном 16 июня 2020 года в городе Париже,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sgpbxfokdp2auhoru2vc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об отсрочке обслуживания долга между Правительством Кыргызской Республики и Германским Банком Развития KfW на сумму 2572349,44 евро.</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от имени Правительства Кыргызской Республики указанного в пункте 1 настоящего распоряжения Соглашения, с учетом возможного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240" w:before="200"/>
        <w:jc w:val="center"/>
      </w:pPr>
      <w:r>
        <w:rPr>
          <w:rFonts w:ascii="Arial" w:cs="Arial" w:eastAsia="Arial" w:hAnsi="Arial"/>
          <w:b/>
          <w:bCs/>
          <w:sz w:val="32"/>
          <w:szCs w:val="32"/>
        </w:rPr>
        <w:t xml:space="preserve">СОГЛАШЕНИЕ
 об отсрочке обслуживания долга между Германским Банком Развития KfW, Франкфурт-на-Майне ("KfW") и Правительством Кыргызской Республикой ("Заемщик") на сумму 2572349,44 евро</w:t>
      </w:r>
    </w:p>
    <w:p>
      <w:pPr>
        <w:spacing w:after="120"/>
        <w:jc w:val="both"/>
      </w:pPr>
      <w:r>
        <w:rPr>
          <w:rFonts w:ascii="Arial" w:cs="Arial" w:eastAsia="Arial" w:hAnsi="Arial"/>
          <w:sz w:val="24"/>
          <w:szCs w:val="24"/>
        </w:rPr>
        <w:t xml:space="preserve">В ответ на просьбу Правительства Кыргызской Республики (далее - Заемщик) о временном приостановлении обслуживания долга в целях смягчения последствий в сфере здравоохранения, а также экономических и социальных последствий, вызванных пандемией COVID19, 16 июня 2020 года в Париже был подписан Меморандум о взаимопонимании относительно отсрочки обслуживания государственного внешнего долга Кыргызской Республики между Правительством Кыргызской Республики и Парижским клубом (далее - Меморандум о взаимопонимании).</w:t>
      </w:r>
    </w:p>
    <w:p>
      <w:pPr>
        <w:spacing w:after="120"/>
        <w:jc w:val="both"/>
      </w:pPr>
      <w:r>
        <w:rPr>
          <w:rFonts w:ascii="Arial" w:cs="Arial" w:eastAsia="Arial" w:hAnsi="Arial"/>
          <w:sz w:val="24"/>
          <w:szCs w:val="24"/>
        </w:rPr>
        <w:t xml:space="preserve">Принимая во внимание:</w:t>
      </w:r>
    </w:p>
    <w:p>
      <w:pPr>
        <w:spacing w:after="120"/>
        <w:jc w:val="both"/>
      </w:pPr>
      <w:r>
        <w:rPr>
          <w:rFonts w:ascii="Arial" w:cs="Arial" w:eastAsia="Arial" w:hAnsi="Arial"/>
          <w:sz w:val="24"/>
          <w:szCs w:val="24"/>
        </w:rPr>
        <w:t xml:space="preserve">А) исключительные масштабы и разрушительные последствия кризиса, вызванного пандемией коронавирусной инфекции COVID-19 и готовность Правительства Республики Германия совместно с другими участвующими странами-кредиторами (указанными в Меморандуме о взаимопонимании) обеспечить исключительный режим, в целях увеличения финансовых средств Заемщика для удовлетворения неотложных кризисных потребностей,</w:t>
      </w:r>
    </w:p>
    <w:p>
      <w:pPr>
        <w:spacing w:after="120"/>
        <w:jc w:val="both"/>
      </w:pPr>
      <w:r>
        <w:rPr>
          <w:rFonts w:ascii="Arial" w:cs="Arial" w:eastAsia="Arial" w:hAnsi="Arial"/>
          <w:sz w:val="24"/>
          <w:szCs w:val="24"/>
        </w:rPr>
        <w:t xml:space="preserve">Б) KfW и Заемщик, заключили первоначальные кредитные соглашения (как определено ниже). KfW уполномочена Федеративной Республикой Германия применять условия обслуживания задолженности, предусмотренные Меморандумом о взаимопонимании, действуя таким образом от своего имени, но за счет Федеративной Республики Германия.</w:t>
      </w:r>
    </w:p>
    <w:p>
      <w:pPr>
        <w:spacing w:after="120"/>
        <w:jc w:val="both"/>
      </w:pPr>
      <w:r>
        <w:rPr>
          <w:rFonts w:ascii="Arial" w:cs="Arial" w:eastAsia="Arial" w:hAnsi="Arial"/>
          <w:sz w:val="24"/>
          <w:szCs w:val="24"/>
        </w:rPr>
        <w:t xml:space="preserve">Таким образом, на основании Меморандума о взаимопонимании Заемщик и KfW настоящим заключают следующее Соглашение об отсрочке погашения долга ("Соглашение"):</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Сумма задолженности</w:t>
      </w:r>
    </w:p>
    <w:p>
      <w:pPr>
        <w:spacing w:after="120"/>
        <w:jc w:val="both"/>
      </w:pPr>
      <w:r>
        <w:rPr>
          <w:rFonts w:ascii="Arial" w:cs="Arial" w:eastAsia="Arial" w:hAnsi="Arial"/>
          <w:sz w:val="24"/>
          <w:szCs w:val="24"/>
        </w:rPr>
        <w:t xml:space="preserve">1.1. Основная сумма долга и проценты, причитающиеся и не уплаченные с 1 мая 2020 года по 31 декабря 2020 года включительно, указанные в Приложении 1 (отложенная основная сумма долга и проценты) к настоящему Соглашению, настоящим откладываются и объединяются в новую сумму долга ("сумма долга") в размере 2579349,44 евро.</w:t>
      </w:r>
    </w:p>
    <w:p>
      <w:pPr>
        <w:spacing w:after="120"/>
        <w:jc w:val="both"/>
      </w:pPr>
      <w:r>
        <w:rPr>
          <w:rFonts w:ascii="Arial" w:cs="Arial" w:eastAsia="Arial" w:hAnsi="Arial"/>
          <w:sz w:val="24"/>
          <w:szCs w:val="24"/>
        </w:rPr>
        <w:t xml:space="preserve">1.2. KfW перечисляет основную сумму долга и проценты, указанные в Приложении 1 ("Отложенная основная сумма долга и проценты"), в качестве дебетовой записи на счет Заемщика, начиная с даты первоначального погашения. Срок действия указанного перевода зависит от вступления в силу настоящего Соглашения и Меморандума о взаимопонимании.</w:t>
      </w:r>
    </w:p>
    <w:p>
      <w:pPr>
        <w:spacing w:after="120"/>
        <w:jc w:val="both"/>
      </w:pPr>
      <w:r>
        <w:rPr>
          <w:rFonts w:ascii="Arial" w:cs="Arial" w:eastAsia="Arial" w:hAnsi="Arial"/>
          <w:sz w:val="24"/>
          <w:szCs w:val="24"/>
        </w:rPr>
        <w:t xml:space="preserve">1.3. Основная сумма и проценты, отложенные и объединенные в соответствии с пунктом 1.1 настоящего Соглашения, больше не подлежат уплате по кредитным соглашениям (включая, но не ограничиваясь ими, любыми поправками к ним, любыми соглашениями о консолидации и выпуске задолженности или любыми другими дополнительными соглашениями в отношении настоящего Соглашения), перечисленным в Приложении 1 ("Отложенная основная сумма и проценты") к настоящему Соглашению ("первоначальные кредитные соглашения" и каждое "первоначальное кредитное соглашение"). Положения первоначальных кредитных соглашений остаются неизменными, в случае только если положения настоящего Соглашения не вступают в противоречие с ними. Любые и все существующие платежные обязательства, превышающие сумму долга, а также любые и все будущие платежные обязательства (кроме отложенных по настоящему Соглашению) исполняются в соответствии с первоначальными кредитными соглашениями. В целях устранения сомнений, неисполнение Заемщиком своих обязательств по настоящему Соглашению не является неисполнением им своих обязательств по какому-либо первоначальному кредитному соглашению.</w:t>
      </w:r>
    </w:p>
    <w:p>
      <w:pPr>
        <w:spacing w:after="120"/>
        <w:jc w:val="both"/>
      </w:pPr>
      <w:r>
        <w:rPr>
          <w:rFonts w:ascii="Arial" w:cs="Arial" w:eastAsia="Arial" w:hAnsi="Arial"/>
          <w:sz w:val="24"/>
          <w:szCs w:val="24"/>
        </w:rPr>
        <w:t xml:space="preserve">1.4. В случае, если какой-либо из первоначальных кредитных соглашений содержит положение об использовании дифференцированных по процентам средств (или аналогичных эквивалентных средств, или как бы то ни было описанных в Первоначальном кредитном соглашении) для определенной цели, то последствия настоящего Соглашения на выплату процентов по такому первоначальному кредитному договору не учитываются в целях расчета таких средств по этому первоначальному кредитному соглашению.</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 Проценты и погашение долга</w:t>
      </w:r>
    </w:p>
    <w:p>
      <w:pPr>
        <w:spacing w:after="120"/>
        <w:jc w:val="both"/>
      </w:pPr>
      <w:r>
        <w:rPr>
          <w:rFonts w:ascii="Arial" w:cs="Arial" w:eastAsia="Arial" w:hAnsi="Arial"/>
          <w:sz w:val="24"/>
          <w:szCs w:val="24"/>
        </w:rPr>
        <w:t xml:space="preserve">2.1. Заемщик уплачивает проценты на сумму долга по ставке 0 (ноль) процентов годовых.</w:t>
      </w:r>
    </w:p>
    <w:p>
      <w:pPr>
        <w:spacing w:after="120"/>
        <w:jc w:val="both"/>
      </w:pPr>
      <w:r>
        <w:rPr>
          <w:rFonts w:ascii="Arial" w:cs="Arial" w:eastAsia="Arial" w:hAnsi="Arial"/>
          <w:sz w:val="24"/>
          <w:szCs w:val="24"/>
        </w:rPr>
        <w:t xml:space="preserve">2.2. Погашение соответствующих сумм производится 6 равными, последовательными и полугодовыми платежами, первый из которых производится 15 июня 2022 года, а последний 15 декабря 2024 года,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1"/>
        <w:gridCol w:w="4357"/>
        <w:gridCol w:w="3410"/>
      </w:tblGrid>
      <w:tr>
        <w:tc>
          <w:tcPr>
            <w:tcW w:type="dxa" w:w="24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погашения</w:t>
            </w:r>
          </w:p>
        </w:tc>
        <w:tc>
          <w:tcPr>
            <w:tcW w:type="dxa" w:w="4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доли задолженности</w:t>
            </w:r>
          </w:p>
        </w:tc>
        <w:tc>
          <w:tcPr>
            <w:tcW w:type="dxa" w:w="3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Рассрочка платежа в евро</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июня 2022</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декабря 2022</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июня 2023</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декабря 2023</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июня 2024</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декабря 2024</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429582,34</w:t>
            </w:r>
          </w:p>
        </w:tc>
      </w:tr>
    </w:tbl>
    <w:p>
      <w:pPr>
        <w:spacing w:after="120"/>
        <w:jc w:val="both"/>
      </w:pPr>
      <w:r>
        <w:rPr>
          <w:rFonts w:ascii="Arial" w:cs="Arial" w:eastAsia="Arial" w:hAnsi="Arial"/>
          <w:sz w:val="24"/>
          <w:szCs w:val="24"/>
        </w:rPr>
        <w:t xml:space="preserve">2.3. В случае, если какие-либо платежи перед KfW не были погашены в установленный срок, KfW может взимать проценты по просроченной задолженности в размере 1,0 (одна точка ноль) процентов годовых за период, начинающийся с даты погашения и заканчивающийся датой зачисления таких платежей на счет KfW, указанный в пункте 2.7.</w:t>
      </w:r>
    </w:p>
    <w:p>
      <w:pPr>
        <w:spacing w:after="120"/>
        <w:jc w:val="both"/>
      </w:pPr>
      <w:r>
        <w:rPr>
          <w:rFonts w:ascii="Arial" w:cs="Arial" w:eastAsia="Arial" w:hAnsi="Arial"/>
          <w:sz w:val="24"/>
          <w:szCs w:val="24"/>
        </w:rPr>
        <w:t xml:space="preserve">В случае возникновения просроченных процентных платежей, перечисленных в Приложении 1 (отложенная основная сумма и проценты), KfW вправе потребовать возмещения убытков. Такие возмещения не должны превышать сумму, если проценты начислены на такие просроченные процентные платежи по базовой процентной ставке на дату погашения в размере 1,0 (одна точка ноль) процентов годовых. Проценты и любые платежи по просроченной задолженности в соответствии с настоящим пунктом 2.3 подлежат уплате раз в 6 месяцев 15 июня и 15 декабря каждого года в течение полугодия, заканчивающегося на указанную дату. Настоящий пункт 2.3 не применяется до тех пор, пока просрочка платежа составляет менее шести недель.</w:t>
      </w:r>
    </w:p>
    <w:p>
      <w:pPr>
        <w:spacing w:after="120"/>
        <w:jc w:val="both"/>
      </w:pPr>
      <w:r>
        <w:rPr>
          <w:rFonts w:ascii="Arial" w:cs="Arial" w:eastAsia="Arial" w:hAnsi="Arial"/>
          <w:sz w:val="24"/>
          <w:szCs w:val="24"/>
        </w:rPr>
        <w:t xml:space="preserve">2.4. Проценты и любые издержки по просроченным суммам в соответствии с пунктом 2.5 рассчитываются на основе 360 дней в год и 30 дней в месяце.</w:t>
      </w:r>
    </w:p>
    <w:p>
      <w:pPr>
        <w:spacing w:after="120"/>
        <w:jc w:val="both"/>
      </w:pPr>
      <w:r>
        <w:rPr>
          <w:rFonts w:ascii="Arial" w:cs="Arial" w:eastAsia="Arial" w:hAnsi="Arial"/>
          <w:sz w:val="24"/>
          <w:szCs w:val="24"/>
        </w:rPr>
        <w:t xml:space="preserve">2.5. Досрочные платежи по обязательствам должны зачисляться в равных пропорциях по отношению к сумме накопленного и непогашенного долга, кроме случаев, когда KfW по своему усмотрению определяет другой метод возмещения в каждом отдельном случае, особенно в случае платежей в меньших объемах.</w:t>
      </w:r>
    </w:p>
    <w:p>
      <w:pPr>
        <w:spacing w:after="120"/>
        <w:jc w:val="both"/>
      </w:pPr>
      <w:r>
        <w:rPr>
          <w:rFonts w:ascii="Arial" w:cs="Arial" w:eastAsia="Arial" w:hAnsi="Arial"/>
          <w:sz w:val="24"/>
          <w:szCs w:val="24"/>
        </w:rPr>
        <w:t xml:space="preserve">2.6. KfW может, по своему усмотрению, кредитовать суммы, полученные в счет погашения обязательств в рамках данного Соглашения или в рамках других Соглашений, заключенных между KfW и Заемщиком.</w:t>
      </w:r>
    </w:p>
    <w:p>
      <w:pPr>
        <w:spacing w:after="120"/>
        <w:jc w:val="both"/>
      </w:pPr>
      <w:r>
        <w:rPr>
          <w:rFonts w:ascii="Arial" w:cs="Arial" w:eastAsia="Arial" w:hAnsi="Arial"/>
          <w:sz w:val="24"/>
          <w:szCs w:val="24"/>
        </w:rPr>
        <w:t xml:space="preserve">2.7. Заемщик перечисляет все платежи в евро "без встречных требований" по отношению к таким платежам по настоящему Соглашению в евро на следующий счет:</w:t>
      </w:r>
    </w:p>
    <w:p>
      <w:pPr>
        <w:spacing w:after="120"/>
        <w:jc w:val="both"/>
      </w:pPr>
      <w:r>
        <w:rPr>
          <w:rFonts w:ascii="Arial" w:cs="Arial" w:eastAsia="Arial" w:hAnsi="Arial"/>
          <w:sz w:val="24"/>
          <w:szCs w:val="24"/>
        </w:rPr>
        <w:t xml:space="preserve">Получатель: KfW</w:t>
      </w:r>
    </w:p>
    <w:p>
      <w:pPr>
        <w:spacing w:after="120"/>
        <w:jc w:val="both"/>
      </w:pPr>
      <w:r>
        <w:rPr>
          <w:rFonts w:ascii="Arial" w:cs="Arial" w:eastAsia="Arial" w:hAnsi="Arial"/>
          <w:sz w:val="24"/>
          <w:szCs w:val="24"/>
        </w:rPr>
        <w:t xml:space="preserve">SWIFT-код: KFWIDEFF</w:t>
      </w:r>
    </w:p>
    <w:p>
      <w:pPr>
        <w:spacing w:after="120"/>
        <w:jc w:val="both"/>
      </w:pPr>
      <w:r>
        <w:rPr>
          <w:rFonts w:ascii="Arial" w:cs="Arial" w:eastAsia="Arial" w:hAnsi="Arial"/>
          <w:sz w:val="24"/>
          <w:szCs w:val="24"/>
        </w:rPr>
        <w:t xml:space="preserve">IBAN: DE51 5002 0400 3139 8737 14</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Досрочное погашение</w:t>
      </w:r>
    </w:p>
    <w:p>
      <w:pPr>
        <w:spacing w:after="120"/>
        <w:jc w:val="both"/>
      </w:pPr>
      <w:r>
        <w:rPr>
          <w:rFonts w:ascii="Arial" w:cs="Arial" w:eastAsia="Arial" w:hAnsi="Arial"/>
          <w:sz w:val="24"/>
          <w:szCs w:val="24"/>
        </w:rPr>
        <w:t xml:space="preserve">3.1. Заемщик имеет право в любое время произвести предоплату суммы долга полностью или частично при условии, что такая предоплата не будет представлять собой способ, который является более благоприятным для KfW, чем способ, согласованный в соответствии с элементами, описанными в Приложении 1 к Меморандуму о взаимопонимании.</w:t>
      </w:r>
    </w:p>
    <w:p>
      <w:pPr>
        <w:spacing w:after="120"/>
        <w:jc w:val="both"/>
      </w:pPr>
      <w:r>
        <w:rPr>
          <w:rFonts w:ascii="Arial" w:cs="Arial" w:eastAsia="Arial" w:hAnsi="Arial"/>
          <w:sz w:val="24"/>
          <w:szCs w:val="24"/>
        </w:rPr>
        <w:t xml:space="preserve">3.2. KfW может требовать незамедлительной или срочной оплаты непогашенной Суммы Задолженности, а также выплаты всех начисленных процентов и любых других непредвиденных расходов, в случае если:</w:t>
      </w:r>
    </w:p>
    <w:p>
      <w:pPr>
        <w:spacing w:after="120"/>
        <w:jc w:val="both"/>
      </w:pPr>
      <w:r>
        <w:rPr>
          <w:rFonts w:ascii="Arial" w:cs="Arial" w:eastAsia="Arial" w:hAnsi="Arial"/>
          <w:sz w:val="24"/>
          <w:szCs w:val="24"/>
        </w:rPr>
        <w:t xml:space="preserve">а) любое обязательство, предусмотренное пунктом 8.1 настоящего Соглашения, было нарушено; или</w:t>
      </w:r>
    </w:p>
    <w:p>
      <w:pPr>
        <w:spacing w:after="120"/>
        <w:jc w:val="both"/>
      </w:pPr>
      <w:r>
        <w:rPr>
          <w:rFonts w:ascii="Arial" w:cs="Arial" w:eastAsia="Arial" w:hAnsi="Arial"/>
          <w:sz w:val="24"/>
          <w:szCs w:val="24"/>
        </w:rPr>
        <w:t xml:space="preserve">б) выполнение обязательств KfW по настоящему Соглашению нарушает применимое законодательство,</w:t>
      </w:r>
    </w:p>
    <w:p>
      <w:pPr>
        <w:spacing w:after="120"/>
        <w:jc w:val="both"/>
      </w:pPr>
      <w:r>
        <w:rPr>
          <w:rFonts w:ascii="Arial" w:cs="Arial" w:eastAsia="Arial" w:hAnsi="Arial"/>
          <w:sz w:val="24"/>
          <w:szCs w:val="24"/>
        </w:rPr>
        <w:t xml:space="preserve">и если обстоятельства, указанные в пунктах а) или б), не были устранены в течение периода, определяемого KfW, но не превышающего 30 дней.</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 Затраты и государственные сборы</w:t>
      </w:r>
    </w:p>
    <w:p>
      <w:pPr>
        <w:spacing w:after="120"/>
        <w:jc w:val="both"/>
      </w:pPr>
      <w:r>
        <w:rPr>
          <w:rFonts w:ascii="Arial" w:cs="Arial" w:eastAsia="Arial" w:hAnsi="Arial"/>
          <w:sz w:val="24"/>
          <w:szCs w:val="24"/>
        </w:rPr>
        <w:t xml:space="preserve">4.1. Заемщик должен производить все платежи, подлежащие осуществлению в соответствии с настоящим Соглашением, без удержаний по налогам, другим государственным сборам или иным расходам.</w:t>
      </w:r>
    </w:p>
    <w:p>
      <w:pPr>
        <w:spacing w:after="120"/>
        <w:jc w:val="both"/>
      </w:pPr>
      <w:r>
        <w:rPr>
          <w:rFonts w:ascii="Arial" w:cs="Arial" w:eastAsia="Arial" w:hAnsi="Arial"/>
          <w:sz w:val="24"/>
          <w:szCs w:val="24"/>
        </w:rPr>
        <w:t xml:space="preserve">4.2. Заемщик несет расходы по выплате всех налогов и других государственных сборов, взымаемых за пределами Федеративной Республики Германия, связанных с заключением и исполнением настоящего Соглашения.</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 Договорные заявления и полномочия представительства</w:t>
      </w:r>
    </w:p>
    <w:p>
      <w:pPr>
        <w:spacing w:after="120"/>
        <w:jc w:val="both"/>
      </w:pPr>
      <w:r>
        <w:rPr>
          <w:rFonts w:ascii="Arial" w:cs="Arial" w:eastAsia="Arial" w:hAnsi="Arial"/>
          <w:sz w:val="24"/>
          <w:szCs w:val="24"/>
        </w:rPr>
        <w:t xml:space="preserve">5.1. Заемщик принимает на себя следующие обязательства:</w:t>
      </w:r>
    </w:p>
    <w:p>
      <w:pPr>
        <w:spacing w:after="120"/>
        <w:jc w:val="both"/>
      </w:pPr>
      <w:r>
        <w:rPr>
          <w:rFonts w:ascii="Arial" w:cs="Arial" w:eastAsia="Arial" w:hAnsi="Arial"/>
          <w:sz w:val="24"/>
          <w:szCs w:val="24"/>
        </w:rPr>
        <w:t xml:space="preserve">а) соблюдение всех требований в рамках Конституции Кыргызской Республики и других законов, для правомерного исполнения всех обязательств по настоящему Соглашению;</w:t>
      </w:r>
    </w:p>
    <w:p>
      <w:pPr>
        <w:spacing w:after="120"/>
        <w:jc w:val="both"/>
      </w:pPr>
      <w:r>
        <w:rPr>
          <w:rFonts w:ascii="Arial" w:cs="Arial" w:eastAsia="Arial" w:hAnsi="Arial"/>
          <w:sz w:val="24"/>
          <w:szCs w:val="24"/>
        </w:rPr>
        <w:t xml:space="preserve">б) соблюдение всех валютных правил и удостоверение в получении всех необходимых разрешений.</w:t>
      </w:r>
    </w:p>
    <w:p>
      <w:pPr>
        <w:spacing w:after="120"/>
        <w:jc w:val="both"/>
      </w:pPr>
      <w:r>
        <w:rPr>
          <w:rFonts w:ascii="Arial" w:cs="Arial" w:eastAsia="Arial" w:hAnsi="Arial"/>
          <w:sz w:val="24"/>
          <w:szCs w:val="24"/>
        </w:rPr>
        <w:t xml:space="preserve">5.2. Представлять Заемщика при исполнении настоящего Соглашения уполномочен министр финансов или любое уполномоченное им лицо. При этом надлежащее разрешение такого представителя (если таковой имеется), а также заверенная копия документа, удостоверяющего личность лица, подписавшего настоящее Соглашение, предоставляются KfW.</w:t>
      </w:r>
    </w:p>
    <w:p>
      <w:pPr>
        <w:spacing w:after="120"/>
        <w:jc w:val="both"/>
      </w:pPr>
      <w:r>
        <w:rPr>
          <w:rFonts w:ascii="Arial" w:cs="Arial" w:eastAsia="Arial" w:hAnsi="Arial"/>
          <w:sz w:val="24"/>
          <w:szCs w:val="24"/>
        </w:rPr>
        <w:t xml:space="preserve">Он уведомляет органы, представляющие Заемщика по первоначальным кредитным соглашениям, а также другие стороны первоначальных кредитных соглашений (включая учреждения-исполнители проектов, если таковые имеются) о заключении настоящего Соглашения по адресу корреспонденции, указанному в таких первоначальных кредитных соглашениях, или по другому адресу, указанному соответствующей стороной.</w:t>
      </w:r>
    </w:p>
    <w:p>
      <w:pPr>
        <w:spacing w:after="120"/>
        <w:jc w:val="both"/>
      </w:pPr>
      <w:r>
        <w:rPr>
          <w:rFonts w:ascii="Arial" w:cs="Arial" w:eastAsia="Arial" w:hAnsi="Arial"/>
          <w:sz w:val="24"/>
          <w:szCs w:val="24"/>
        </w:rPr>
        <w:t xml:space="preserve">5.3. По взаимному письменному согласию Сторон в настоящее Соглашение могут вноситься изменения и дополнения, которые оформляются отдельными протоколами, являющимися его неотъемлемой частью. Все сообщения, касающиеся реализации настоящего Соглашения направляются на следующие адреса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KfW:</w:t>
      </w:r>
    </w:p>
    <w:p>
      <w:pPr>
        <w:spacing w:after="120"/>
        <w:jc w:val="both"/>
      </w:pPr>
      <w:r>
        <w:rPr>
          <w:rFonts w:ascii="Arial" w:cs="Arial" w:eastAsia="Arial" w:hAnsi="Arial"/>
          <w:sz w:val="24"/>
          <w:szCs w:val="24"/>
        </w:rPr>
        <w:t xml:space="preserve">KfW</w:t>
      </w:r>
    </w:p>
    <w:p>
      <w:pPr>
        <w:spacing w:after="120"/>
        <w:jc w:val="both"/>
      </w:pPr>
      <w:r>
        <w:rPr>
          <w:rFonts w:ascii="Arial" w:cs="Arial" w:eastAsia="Arial" w:hAnsi="Arial"/>
          <w:sz w:val="24"/>
          <w:szCs w:val="24"/>
        </w:rPr>
        <w:t xml:space="preserve">Постфах 11 11 41</w:t>
      </w:r>
    </w:p>
    <w:p>
      <w:pPr>
        <w:spacing w:after="120"/>
        <w:jc w:val="both"/>
      </w:pPr>
      <w:r>
        <w:rPr>
          <w:rFonts w:ascii="Arial" w:cs="Arial" w:eastAsia="Arial" w:hAnsi="Arial"/>
          <w:sz w:val="24"/>
          <w:szCs w:val="24"/>
        </w:rPr>
        <w:t xml:space="preserve">60046 Франкфурт-на-Майне</w:t>
      </w:r>
    </w:p>
    <w:p>
      <w:pPr>
        <w:spacing w:after="120"/>
        <w:jc w:val="both"/>
      </w:pPr>
      <w:r>
        <w:rPr>
          <w:rFonts w:ascii="Arial" w:cs="Arial" w:eastAsia="Arial" w:hAnsi="Arial"/>
          <w:sz w:val="24"/>
          <w:szCs w:val="24"/>
        </w:rPr>
        <w:t xml:space="preserve">Федеративная Республика Германия</w:t>
      </w:r>
    </w:p>
    <w:p>
      <w:pPr>
        <w:spacing w:after="120"/>
        <w:jc w:val="both"/>
      </w:pPr>
      <w:r>
        <w:rPr>
          <w:rFonts w:ascii="Arial" w:cs="Arial" w:eastAsia="Arial" w:hAnsi="Arial"/>
          <w:sz w:val="24"/>
          <w:szCs w:val="24"/>
        </w:rPr>
        <w:t xml:space="preserve">Факс: +49 69 7431-2944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Заемщика:</w:t>
      </w:r>
    </w:p>
    <w:p>
      <w:pPr>
        <w:spacing w:after="120"/>
        <w:jc w:val="both"/>
      </w:pPr>
      <w:r>
        <w:rPr>
          <w:rFonts w:ascii="Arial" w:cs="Arial" w:eastAsia="Arial" w:hAnsi="Arial"/>
          <w:sz w:val="24"/>
          <w:szCs w:val="24"/>
        </w:rPr>
        <w:t xml:space="preserve">Министерство финансов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Кыргызская Республика</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6.1. В случае возникновения любых обстоятельств подвергающих нарушению или значительно задерживающих выполнение условий настоящего Соглашения, Заемщик должен незамедлительно проинформировать KfW.</w:t>
      </w:r>
    </w:p>
    <w:p>
      <w:pPr>
        <w:spacing w:after="120"/>
        <w:jc w:val="both"/>
      </w:pPr>
      <w:r>
        <w:rPr>
          <w:rFonts w:ascii="Arial" w:cs="Arial" w:eastAsia="Arial" w:hAnsi="Arial"/>
          <w:sz w:val="24"/>
          <w:szCs w:val="24"/>
        </w:rPr>
        <w:t xml:space="preserve">6.2. Заемщик обязуется при любых обстоятельствах выполнять свои обязательства по Меморандуму о взаимопонимании.</w:t>
      </w:r>
    </w:p>
    <w:p>
      <w:pPr>
        <w:spacing w:after="120"/>
        <w:jc w:val="both"/>
      </w:pPr>
      <w:r>
        <w:rPr>
          <w:rFonts w:ascii="Arial" w:cs="Arial" w:eastAsia="Arial" w:hAnsi="Arial"/>
          <w:sz w:val="24"/>
          <w:szCs w:val="24"/>
        </w:rPr>
        <w:t xml:space="preserve">6.3. В соответствии с пунктом 5 ("Реализация") Меморандума о взаимопонимании, участвующие страны-кредиторы (указанные в Меморандуме о взаимопонимании), включая Федеральное Правительство Федеративной Республики Германия, заявили о своем намерении до 31 декабря 2020 года включительно провести переговоры для рассмотрения вопроса о пересмотре Меморандума о взаимопонимании в целях возможного продления периода, в течение которого может быть предоставлена отсрочка по платежам по обслуживанию долга при условии, что Правительство Заемщика выполнило все свои обязательства по Меморандуму о взаимопонимании. С этой целью участвующие страны-кредиторы, включая Федеральное Правительство Федеративной Республики Германия, примут во внимание доклад, который будет подготовлен группой Всемирного банка и Международным валютным фондом о потребностях беднейших стран в ликвидности.</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7.1. В соответствии с признанными международными принципами максимальной прозрачности и эффективности сотрудничества в области развития KfW публикует отдельные сведения (включая результаты исследований по соблюдению экологических и социальных норм и оценок, а также докладов по оценке реализации постфактум) о настоящем Соглашении, первоначальных кредитных соглашениях и проекте (указанных в Приложении 2 (Соглашения о соблюдении) настоящего Соглашения) ("Проект и его финансирование"), как в ходе предварительных переговоров, так и после заключения Соглашения (далее - "весь период").</w:t>
      </w:r>
    </w:p>
    <w:p>
      <w:pPr>
        <w:spacing w:after="120"/>
        <w:jc w:val="both"/>
      </w:pPr>
      <w:r>
        <w:rPr>
          <w:rFonts w:ascii="Arial" w:cs="Arial" w:eastAsia="Arial" w:hAnsi="Arial"/>
          <w:sz w:val="24"/>
          <w:szCs w:val="24"/>
        </w:rPr>
        <w:t xml:space="preserve">Информация регулярно публикуется на сайте KfWs по направлению деятельности "Банк Развития KfW" (http://transparenz.kfw-entwicklungsbank.de/).</w:t>
      </w:r>
    </w:p>
    <w:p>
      <w:pPr>
        <w:spacing w:after="120"/>
        <w:jc w:val="both"/>
      </w:pPr>
      <w:r>
        <w:rPr>
          <w:rFonts w:ascii="Arial" w:cs="Arial" w:eastAsia="Arial" w:hAnsi="Arial"/>
          <w:sz w:val="24"/>
          <w:szCs w:val="24"/>
        </w:rPr>
        <w:t xml:space="preserve">Публикация информации (либо со стороны KfW, либо со стороны третьих лиц в соответствии с пунктом 7.3) о проекте и его финансировании не включает в себя никакой договорной документации или любой конфиденциальной финансовой или деловой подробной информации о сторонах, участвующих в проекте или его финансировании, такой как:</w:t>
      </w:r>
    </w:p>
    <w:p>
      <w:pPr>
        <w:spacing w:after="120"/>
        <w:jc w:val="both"/>
      </w:pPr>
      <w:r>
        <w:rPr>
          <w:rFonts w:ascii="Arial" w:cs="Arial" w:eastAsia="Arial" w:hAnsi="Arial"/>
          <w:sz w:val="24"/>
          <w:szCs w:val="24"/>
        </w:rPr>
        <w:t xml:space="preserve">а) информация о внутренних финансовых данных;</w:t>
      </w:r>
    </w:p>
    <w:p>
      <w:pPr>
        <w:spacing w:after="120"/>
        <w:jc w:val="both"/>
      </w:pPr>
      <w:r>
        <w:rPr>
          <w:rFonts w:ascii="Arial" w:cs="Arial" w:eastAsia="Arial" w:hAnsi="Arial"/>
          <w:sz w:val="24"/>
          <w:szCs w:val="24"/>
        </w:rPr>
        <w:t xml:space="preserve">б) бизнес-стратегии;</w:t>
      </w:r>
    </w:p>
    <w:p>
      <w:pPr>
        <w:spacing w:after="120"/>
        <w:jc w:val="both"/>
      </w:pPr>
      <w:r>
        <w:rPr>
          <w:rFonts w:ascii="Arial" w:cs="Arial" w:eastAsia="Arial" w:hAnsi="Arial"/>
          <w:sz w:val="24"/>
          <w:szCs w:val="24"/>
        </w:rPr>
        <w:t xml:space="preserve">в) внутренние корпоративные руководящие принципы и отчеты;</w:t>
      </w:r>
    </w:p>
    <w:p>
      <w:pPr>
        <w:spacing w:after="120"/>
        <w:jc w:val="both"/>
      </w:pPr>
      <w:r>
        <w:rPr>
          <w:rFonts w:ascii="Arial" w:cs="Arial" w:eastAsia="Arial" w:hAnsi="Arial"/>
          <w:sz w:val="24"/>
          <w:szCs w:val="24"/>
        </w:rPr>
        <w:t xml:space="preserve">г) персональные данные физических лиц;</w:t>
      </w:r>
    </w:p>
    <w:p>
      <w:pPr>
        <w:spacing w:after="120"/>
        <w:jc w:val="both"/>
      </w:pPr>
      <w:r>
        <w:rPr>
          <w:rFonts w:ascii="Arial" w:cs="Arial" w:eastAsia="Arial" w:hAnsi="Arial"/>
          <w:sz w:val="24"/>
          <w:szCs w:val="24"/>
        </w:rPr>
        <w:t xml:space="preserve">д) внутренний рейтинг финансового положения сторон KfW.</w:t>
      </w:r>
    </w:p>
    <w:p>
      <w:pPr>
        <w:spacing w:after="120"/>
        <w:jc w:val="both"/>
      </w:pPr>
      <w:r>
        <w:rPr>
          <w:rFonts w:ascii="Arial" w:cs="Arial" w:eastAsia="Arial" w:hAnsi="Arial"/>
          <w:sz w:val="24"/>
          <w:szCs w:val="24"/>
        </w:rPr>
        <w:t xml:space="preserve">7.2. KfW делится отдельными сведениями о проекте и его финансировании в течение всего периода с указанными ниже организациями, в частности для обеспечения прозрачности и эффективности:</w:t>
      </w:r>
    </w:p>
    <w:p>
      <w:pPr>
        <w:spacing w:after="120"/>
        <w:jc w:val="both"/>
      </w:pPr>
      <w:r>
        <w:rPr>
          <w:rFonts w:ascii="Arial" w:cs="Arial" w:eastAsia="Arial" w:hAnsi="Arial"/>
          <w:sz w:val="24"/>
          <w:szCs w:val="24"/>
        </w:rPr>
        <w:t xml:space="preserve">а) дочерние компании KfW;</w:t>
      </w:r>
    </w:p>
    <w:p>
      <w:pPr>
        <w:spacing w:after="120"/>
        <w:jc w:val="both"/>
      </w:pPr>
      <w:r>
        <w:rPr>
          <w:rFonts w:ascii="Arial" w:cs="Arial" w:eastAsia="Arial" w:hAnsi="Arial"/>
          <w:sz w:val="24"/>
          <w:szCs w:val="24"/>
        </w:rPr>
        <w:t xml:space="preserve">б) Федеративная Республика Германия и ее компетентные органы, органы, учреждения, учреждения или организации;</w:t>
      </w:r>
    </w:p>
    <w:p>
      <w:pPr>
        <w:spacing w:after="120"/>
        <w:jc w:val="both"/>
      </w:pPr>
      <w:r>
        <w:rPr>
          <w:rFonts w:ascii="Arial" w:cs="Arial" w:eastAsia="Arial" w:hAnsi="Arial"/>
          <w:sz w:val="24"/>
          <w:szCs w:val="24"/>
        </w:rPr>
        <w:t xml:space="preserve">в) другие организации-исполнители, участвующие в двустороннем сотрудничестве Германии в области развития, в частности Германское агентство международного сотрудничества (GIZ);</w:t>
      </w:r>
    </w:p>
    <w:p>
      <w:pPr>
        <w:spacing w:after="120"/>
        <w:jc w:val="both"/>
      </w:pPr>
      <w:r>
        <w:rPr>
          <w:rFonts w:ascii="Arial" w:cs="Arial" w:eastAsia="Arial" w:hAnsi="Arial"/>
          <w:sz w:val="24"/>
          <w:szCs w:val="24"/>
        </w:rPr>
        <w:t xml:space="preserve">г) международные организации, занимающиеся сбором статистических данных, и их члены, в особенности Организация экономического сотрудничества и развития (ОЭСР), Парижский клуб и их соответствующие члены (включая, участников и наблюдателей парижского клуба);</w:t>
      </w:r>
    </w:p>
    <w:p>
      <w:pPr>
        <w:spacing w:after="120"/>
        <w:jc w:val="both"/>
      </w:pPr>
      <w:r>
        <w:rPr>
          <w:rFonts w:ascii="Arial" w:cs="Arial" w:eastAsia="Arial" w:hAnsi="Arial"/>
          <w:sz w:val="24"/>
          <w:szCs w:val="24"/>
        </w:rPr>
        <w:t xml:space="preserve">д) любая страна G20, а также представители правительств участвующих стран-кредиторов.</w:t>
      </w:r>
    </w:p>
    <w:p>
      <w:pPr>
        <w:spacing w:after="120"/>
        <w:jc w:val="both"/>
      </w:pPr>
      <w:r>
        <w:rPr>
          <w:rFonts w:ascii="Arial" w:cs="Arial" w:eastAsia="Arial" w:hAnsi="Arial"/>
          <w:sz w:val="24"/>
          <w:szCs w:val="24"/>
        </w:rPr>
        <w:t xml:space="preserve">7.3. Кроме того, Федеративная Республика Германия обратилась к KfW с просьбой поделиться отдельными сведениями о проекте и его финансировании в течение всего периода со следующими организациями, которые публикуют разделы, имеющие отношение к их цели:</w:t>
      </w:r>
    </w:p>
    <w:p>
      <w:pPr>
        <w:spacing w:after="120"/>
        <w:jc w:val="both"/>
      </w:pPr>
      <w:r>
        <w:rPr>
          <w:rFonts w:ascii="Arial" w:cs="Arial" w:eastAsia="Arial" w:hAnsi="Arial"/>
          <w:sz w:val="24"/>
          <w:szCs w:val="24"/>
        </w:rPr>
        <w:t xml:space="preserve">а) Федеративная Республика Германия для целей инициативы по обеспечению транспарентности международной помощи (http://www.bmz.de/de/was_wir_machen/wege/transparenz-fuer-mehr-Wirksamkeit/index.html);</w:t>
      </w:r>
    </w:p>
    <w:p>
      <w:pPr>
        <w:spacing w:after="120"/>
        <w:jc w:val="both"/>
      </w:pPr>
      <w:r>
        <w:rPr>
          <w:rFonts w:ascii="Arial" w:cs="Arial" w:eastAsia="Arial" w:hAnsi="Arial"/>
          <w:sz w:val="24"/>
          <w:szCs w:val="24"/>
        </w:rPr>
        <w:t xml:space="preserve">б) Germany Trade &amp; Invest (GTAI) для целей рыночной информации (https://www.gtai.de/gtai-de/trade);</w:t>
      </w:r>
    </w:p>
    <w:p>
      <w:pPr>
        <w:spacing w:after="120"/>
        <w:jc w:val="both"/>
      </w:pPr>
      <w:r>
        <w:rPr>
          <w:rFonts w:ascii="Arial" w:cs="Arial" w:eastAsia="Arial" w:hAnsi="Arial"/>
          <w:sz w:val="24"/>
          <w:szCs w:val="24"/>
        </w:rPr>
        <w:t xml:space="preserve">в) ОЭСР для целей отчетности о финансовых потоках в рамках сотрудничества в целях развития (http://stats.oecd.org/);</w:t>
      </w:r>
    </w:p>
    <w:p>
      <w:pPr>
        <w:spacing w:after="120"/>
        <w:jc w:val="both"/>
      </w:pPr>
      <w:r>
        <w:rPr>
          <w:rFonts w:ascii="Arial" w:cs="Arial" w:eastAsia="Arial" w:hAnsi="Arial"/>
          <w:sz w:val="24"/>
          <w:szCs w:val="24"/>
        </w:rPr>
        <w:t xml:space="preserve">г) Германский институт оценки развития (DEval) для целей оценки общего Германского сотрудничества в области развития в целях обеспечения прозрачности и эффективности (http://www.deval.org/de/).</w:t>
      </w:r>
    </w:p>
    <w:p>
      <w:pPr>
        <w:spacing w:after="120"/>
        <w:jc w:val="both"/>
      </w:pPr>
      <w:r>
        <w:rPr>
          <w:rFonts w:ascii="Arial" w:cs="Arial" w:eastAsia="Arial" w:hAnsi="Arial"/>
          <w:sz w:val="24"/>
          <w:szCs w:val="24"/>
        </w:rPr>
        <w:t xml:space="preserve">7.4. KfW также оставляет за собой право передавать (в том числе для целей публикации) информацию о проекте и его финансировании в течение всего периода другим третьим лицам в целях защиты законных интересов.</w:t>
      </w:r>
    </w:p>
    <w:p>
      <w:pPr>
        <w:spacing w:after="120"/>
        <w:jc w:val="both"/>
      </w:pPr>
      <w:r>
        <w:rPr>
          <w:rFonts w:ascii="Arial" w:cs="Arial" w:eastAsia="Arial" w:hAnsi="Arial"/>
          <w:sz w:val="24"/>
          <w:szCs w:val="24"/>
        </w:rPr>
        <w:t xml:space="preserve">Информация не передается KfW другим третьим лицам, если законные интересы Заемщика в данной информации перевешивают интересы KfW в ее передаче. Законные интересы Заемщика, в частности, включают в себя конфиденциальность информации, упомянутой в пункте 7.1., которая исключается из публикации.</w:t>
      </w:r>
    </w:p>
    <w:p>
      <w:pPr>
        <w:spacing w:after="120"/>
        <w:jc w:val="both"/>
      </w:pPr>
      <w:r>
        <w:rPr>
          <w:rFonts w:ascii="Arial" w:cs="Arial" w:eastAsia="Arial" w:hAnsi="Arial"/>
          <w:sz w:val="24"/>
          <w:szCs w:val="24"/>
        </w:rPr>
        <w:t xml:space="preserve">Кроме того, KfW имеет право передавать информацию третьим лицам, если это необходимо в силу законодательных или нормативных требований, а также для отстаивания или защиты требований или других законных прав в судебном или административном разбирательстве.</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 Дата вступления в силу. Срок действия и прекращение действия</w:t>
      </w:r>
    </w:p>
    <w:p>
      <w:pPr>
        <w:spacing w:after="120"/>
        <w:jc w:val="both"/>
      </w:pPr>
      <w:r>
        <w:rPr>
          <w:rFonts w:ascii="Arial" w:cs="Arial" w:eastAsia="Arial" w:hAnsi="Arial"/>
          <w:sz w:val="24"/>
          <w:szCs w:val="24"/>
        </w:rPr>
        <w:t xml:space="preserve">8.1. Настоящее Соглашение вступает в силу после его подписания Сторонами.</w:t>
      </w:r>
    </w:p>
    <w:p>
      <w:pPr>
        <w:spacing w:after="120"/>
        <w:jc w:val="both"/>
      </w:pPr>
      <w:r>
        <w:rPr>
          <w:rFonts w:ascii="Arial" w:cs="Arial" w:eastAsia="Arial" w:hAnsi="Arial"/>
          <w:sz w:val="24"/>
          <w:szCs w:val="24"/>
        </w:rPr>
        <w:t xml:space="preserve">8.2. Настоящее Соглашение продолжает действовать до тех пор, пока Стороны настоящего Соглашения не выполнят все свои обязательства по настоящему Соглашению.</w:t>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 Прочие положения</w:t>
      </w:r>
    </w:p>
    <w:p>
      <w:pPr>
        <w:spacing w:after="120"/>
        <w:jc w:val="both"/>
      </w:pPr>
      <w:r>
        <w:rPr>
          <w:rFonts w:ascii="Arial" w:cs="Arial" w:eastAsia="Arial" w:hAnsi="Arial"/>
          <w:sz w:val="24"/>
          <w:szCs w:val="24"/>
        </w:rPr>
        <w:t xml:space="preserve">9.1. Заемщик обязуется в любое время выполнять обязательства, изложенные в Приложении 2 (Соглашение о соблюдении).</w:t>
      </w:r>
    </w:p>
    <w:p>
      <w:pPr>
        <w:spacing w:after="120"/>
        <w:jc w:val="both"/>
      </w:pPr>
      <w:r>
        <w:rPr>
          <w:rFonts w:ascii="Arial" w:cs="Arial" w:eastAsia="Arial" w:hAnsi="Arial"/>
          <w:sz w:val="24"/>
          <w:szCs w:val="24"/>
        </w:rPr>
        <w:t xml:space="preserve">9.2. В случае, если какое-либо из положений настоящего Соглашения станет недействительным, то все остальные положения должны оставаться неизменными. Любые расхождения, явившиеся результатом этого, должны быть разрешены сторонами в условиях соответствующих целям настоящего Соглашения.</w:t>
      </w:r>
    </w:p>
    <w:p>
      <w:pPr>
        <w:spacing w:after="120"/>
        <w:jc w:val="both"/>
      </w:pPr>
      <w:r>
        <w:rPr>
          <w:rFonts w:ascii="Arial" w:cs="Arial" w:eastAsia="Arial" w:hAnsi="Arial"/>
          <w:sz w:val="24"/>
          <w:szCs w:val="24"/>
        </w:rPr>
        <w:t xml:space="preserve">9.3. В случае если Заемщик, ссылаясь на несоблюдение национального законодательства, объявляет о невозможности выполнения обязательств в рамках настоящего Соглашения, то это приводит, с обратным эффектом, к недействительности переводов в соответствии с вышеуказанным пунктом 1.2 и требует погашения процентов и основной суммы в соответствии с условиями Приложений 1 (отложенный основной долг и проценты), на основании первоначальных соглашений.</w:t>
      </w:r>
    </w:p>
    <w:p>
      <w:pPr>
        <w:spacing w:after="120"/>
        <w:jc w:val="both"/>
      </w:pPr>
      <w:r>
        <w:rPr>
          <w:rFonts w:ascii="Arial" w:cs="Arial" w:eastAsia="Arial" w:hAnsi="Arial"/>
          <w:sz w:val="24"/>
          <w:szCs w:val="24"/>
        </w:rPr>
        <w:t xml:space="preserve">9.4. Срок действия всех претензий KfW по настоящему Соглашению истекает через пять лет с момента окончания года, с момента которого появилась любая такая претензия и в течение которого KfW стало известно об обстоятельствах, составляющих такую претензию, или могло бы стать известно о них без грубой халатности.</w:t>
      </w:r>
    </w:p>
    <w:p>
      <w:pPr>
        <w:spacing w:after="120"/>
        <w:jc w:val="both"/>
      </w:pPr>
      <w:r>
        <w:rPr>
          <w:rFonts w:ascii="Arial" w:cs="Arial" w:eastAsia="Arial" w:hAnsi="Arial"/>
          <w:sz w:val="24"/>
          <w:szCs w:val="24"/>
        </w:rPr>
        <w:t xml:space="preserve">9.5. Настоящее Соглашение регулируется законодательством Федеративной Республики Германия. Место исполнения является г.Франкфурт-на-Майне.</w:t>
      </w:r>
    </w:p>
    <w:p>
      <w:pPr>
        <w:spacing w:after="120"/>
        <w:jc w:val="both"/>
      </w:pPr>
      <w:r>
        <w:rPr>
          <w:rFonts w:ascii="Arial" w:cs="Arial" w:eastAsia="Arial" w:hAnsi="Arial"/>
          <w:sz w:val="24"/>
          <w:szCs w:val="24"/>
        </w:rPr>
        <w:t xml:space="preserve">9.6. Все споры, возникающие из настоящего Соглашения или в связи с ним, разрешаются исключительно и окончательно третейским судом. В этой связи будет применяться следующее:</w:t>
      </w:r>
    </w:p>
    <w:p>
      <w:pPr>
        <w:spacing w:after="120"/>
        <w:jc w:val="both"/>
      </w:pPr>
      <w:r>
        <w:rPr>
          <w:rFonts w:ascii="Arial" w:cs="Arial" w:eastAsia="Arial" w:hAnsi="Arial"/>
          <w:sz w:val="24"/>
          <w:szCs w:val="24"/>
        </w:rPr>
        <w:t xml:space="preserve">а) третейский суд будет состоять из одного или трех арбитров, которые будут назначаться и действовать в соответствии с Арбитражным регламентом Международной Торговой палаты (МТП), действующим периодически;</w:t>
      </w:r>
    </w:p>
    <w:p>
      <w:pPr>
        <w:spacing w:after="120"/>
        <w:jc w:val="both"/>
      </w:pPr>
      <w:r>
        <w:rPr>
          <w:rFonts w:ascii="Arial" w:cs="Arial" w:eastAsia="Arial" w:hAnsi="Arial"/>
          <w:sz w:val="24"/>
          <w:szCs w:val="24"/>
        </w:rPr>
        <w:t xml:space="preserve">б) арбитражное разбирательство будет проводиться во Франкфурте-на-Майне. Слушания будут проходить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Подписано в двух экземплярах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Франкфурт-на-Майне</w:t>
      </w:r>
      <w:r>
        <w:rPr>
          <w:rFonts w:ascii="Arial" w:cs="Arial" w:eastAsia="Arial" w:hAnsi="Arial"/>
          <w:sz w:val="24"/>
          <w:szCs w:val="24"/>
        </w:rPr>
        <w:t xml:space="preserve">	</w:t>
      </w:r>
      <w:r>
        <w:rPr>
          <w:rFonts w:ascii="Arial" w:cs="Arial" w:eastAsia="Arial" w:hAnsi="Arial"/>
          <w:sz w:val="24"/>
          <w:szCs w:val="24"/>
        </w:rPr>
        <w:t xml:space="preserve">Бишкек</w:t>
      </w:r>
    </w:p>
    <w:p>
      <w:pPr>
        <w:tabs>
          <w:tab w:val="right" w:pos="10178"/>
        </w:tabs>
        <w:spacing w:after="120"/>
      </w:pPr>
      <w:r>
        <w:rPr>
          <w:rFonts w:ascii="Arial" w:cs="Arial" w:eastAsia="Arial" w:hAnsi="Arial"/>
          <w:sz w:val="24"/>
          <w:szCs w:val="24"/>
        </w:rPr>
        <w:t xml:space="preserve">_______________________ 2020 г.</w:t>
      </w:r>
      <w:r>
        <w:rPr>
          <w:rFonts w:ascii="Arial" w:cs="Arial" w:eastAsia="Arial" w:hAnsi="Arial"/>
          <w:sz w:val="24"/>
          <w:szCs w:val="24"/>
        </w:rPr>
        <w:t xml:space="preserve">	</w:t>
      </w:r>
      <w:r>
        <w:rPr>
          <w:rFonts w:ascii="Arial" w:cs="Arial" w:eastAsia="Arial" w:hAnsi="Arial"/>
          <w:sz w:val="24"/>
          <w:szCs w:val="24"/>
        </w:rPr>
        <w:t xml:space="preserve">_______________________ 2020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KfW</w:t>
      </w:r>
      <w:r>
        <w:rPr>
          <w:rFonts w:ascii="Arial" w:cs="Arial" w:eastAsia="Arial" w:hAnsi="Arial"/>
          <w:sz w:val="24"/>
          <w:szCs w:val="24"/>
        </w:rPr>
        <w:t xml:space="preserve">	</w:t>
      </w:r>
      <w:r>
        <w:rPr>
          <w:rFonts w:ascii="Arial" w:cs="Arial" w:eastAsia="Arial" w:hAnsi="Arial"/>
          <w:sz w:val="24"/>
          <w:szCs w:val="24"/>
        </w:rPr>
        <w:t xml:space="preserve">Правительство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                  Андреас Рахе</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              Глава департамента</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w:t>
      </w:r>
    </w:p>
    <w:p>
      <w:pPr>
        <w:spacing w:after="120"/>
        <w:jc w:val="left"/>
      </w:pPr>
      <w:r>
        <w:rPr>
          <w:rFonts w:ascii="Arial" w:cs="Arial" w:eastAsia="Arial" w:hAnsi="Arial"/>
          <w:sz w:val="24"/>
          <w:szCs w:val="24"/>
        </w:rPr>
        <w:t xml:space="preserve">                Элизабет Шлюндер</w:t>
      </w:r>
    </w:p>
    <w:p>
      <w:pPr>
        <w:spacing w:after="120"/>
        <w:jc w:val="left"/>
      </w:pPr>
      <w:r>
        <w:rPr>
          <w:rFonts w:ascii="Arial" w:cs="Arial" w:eastAsia="Arial" w:hAnsi="Arial"/>
          <w:sz w:val="24"/>
          <w:szCs w:val="24"/>
        </w:rPr>
        <w:t xml:space="preserve">                   Директор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Приложение 1: Отложенная основная сумма долга и проценты.</w:t>
      </w:r>
    </w:p>
    <w:p>
      <w:pPr>
        <w:spacing w:after="120"/>
        <w:jc w:val="right"/>
      </w:pPr>
      <w:r>
        <w:rPr>
          <w:rFonts w:ascii="Arial" w:cs="Arial" w:eastAsia="Arial" w:hAnsi="Arial"/>
          <w:sz w:val="24"/>
          <w:szCs w:val="24"/>
        </w:rPr>
        <w:t xml:space="preserve">- Приложение 2: Соглашение о соответствии.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Отложенная основная сумма и проценты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2"/>
        <w:gridCol w:w="1048"/>
        <w:gridCol w:w="1295"/>
        <w:gridCol w:w="2695"/>
        <w:gridCol w:w="1337"/>
        <w:gridCol w:w="1201"/>
        <w:gridCol w:w="1449"/>
      </w:tblGrid>
      <w:tr>
        <w:tc>
          <w:tcPr>
            <w:tcW w:type="dxa" w:w="11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погашения</w:t>
            </w:r>
          </w:p>
        </w:tc>
        <w:tc>
          <w:tcPr>
            <w:tcW w:type="dxa" w:w="1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BMZ No</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Кредитного соглашения</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проекта</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Соглашения</w:t>
            </w:r>
          </w:p>
        </w:tc>
        <w:tc>
          <w:tcPr>
            <w:tcW w:type="dxa" w:w="12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отсрочки платежей по основной сумме (в евро)</w:t>
            </w:r>
          </w:p>
        </w:tc>
        <w:tc>
          <w:tcPr>
            <w:tcW w:type="dxa" w:w="1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отсрочки по процентным платежам (в евро)</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30.06.2020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199866294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6303892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"Частное предпринимательство - 3":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02.05.2001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58748,00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9473,11</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200165498</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5959096</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"Кыргызский инвестиционный кредитный банк-2"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15749,70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20036584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2350490</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"Финансирование органов местного самоуправления"</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19192,50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200365692</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5474163</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"Создание национальной системы экстренной медицинской помощи"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9750,00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200466029</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2877214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"Оздоровление локальной сети города Бишкек"</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33246,89</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9700014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69950,82</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200766527</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8325381</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"Кредитная линия жилищного строительства":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17.05.2011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200766550</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4620292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"Развитие финансовых систем в сельских регионах. Фаза II"</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01.04.2010</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14752,50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6577445</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(В)</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12977,78</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01.09.2020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200565853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7020610</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о консолидации долга (2005 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253051,00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72752,02</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200565853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4925298</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о консолидации долга (2005 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5662,63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1628,01</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200565853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8592768</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о консолидации полга (2005 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23857,00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4112,26</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30.12.2020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199866294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6303892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"Частное предпринимательство - 3":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02.05.2001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58748,00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9252,81</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200165498</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5959096</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"Кыргызский инвестиционный кредитный банк-2"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15438,45</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20036584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2350490</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"Финансирование органов местного самоуправления"</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200365692</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5474163</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"Создание национальной системы экстренной медицинской помощи"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9562,50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200466029</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2877214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"Оздоровление локальной сети города Бишкек"</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32609,39</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9700014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68702,07</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200766527</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8325381</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"Кредитная линия жилищного строительства":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17.05.2011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200766550</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4620292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"Развитие финансовых систем в сельских регионах. Фаза II"</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01.04.2010</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6577445</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(В)</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12552,00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соответствии</w:t>
      </w:r>
    </w:p>
    <w:p>
      <w:pPr>
        <w:spacing w:after="120"/>
        <w:jc w:val="both"/>
      </w:pPr>
      <w:r>
        <w:rPr>
          <w:rFonts w:ascii="Arial" w:cs="Arial" w:eastAsia="Arial" w:hAnsi="Arial"/>
          <w:b/>
          <w:bCs/>
          <w:sz w:val="24"/>
          <w:szCs w:val="24"/>
        </w:rPr>
        <w:t xml:space="preserve">1. Определения</w:t>
      </w:r>
    </w:p>
    <w:p>
      <w:pPr>
        <w:spacing w:after="120"/>
        <w:jc w:val="both"/>
      </w:pPr>
      <w:r>
        <w:rPr>
          <w:rFonts w:ascii="Arial" w:cs="Arial" w:eastAsia="Arial" w:hAnsi="Arial"/>
          <w:b/>
          <w:bCs/>
          <w:sz w:val="24"/>
          <w:szCs w:val="24"/>
        </w:rPr>
        <w:t xml:space="preserve">Практика принуждения</w:t>
      </w:r>
      <w:r>
        <w:rPr>
          <w:rFonts w:ascii="Arial" w:cs="Arial" w:eastAsia="Arial" w:hAnsi="Arial"/>
          <w:sz w:val="24"/>
          <w:szCs w:val="24"/>
        </w:rPr>
        <w:t xml:space="preserve">: причинение вреда или причинения вреда здоровью, или угроза нанесения вреда или вреда здоровью, прямо или косвенно, любому лицу или имуществу лица с целью оказания ненадлежащего влияния на действия человека.</w:t>
      </w:r>
    </w:p>
    <w:p>
      <w:pPr>
        <w:spacing w:after="120"/>
        <w:jc w:val="both"/>
      </w:pPr>
      <w:r>
        <w:rPr>
          <w:rFonts w:ascii="Arial" w:cs="Arial" w:eastAsia="Arial" w:hAnsi="Arial"/>
          <w:b/>
          <w:bCs/>
          <w:sz w:val="24"/>
          <w:szCs w:val="24"/>
        </w:rPr>
        <w:t xml:space="preserve">Практика сговора</w:t>
      </w:r>
      <w:r>
        <w:rPr>
          <w:rFonts w:ascii="Arial" w:cs="Arial" w:eastAsia="Arial" w:hAnsi="Arial"/>
          <w:sz w:val="24"/>
          <w:szCs w:val="24"/>
        </w:rPr>
        <w:t xml:space="preserve">: договоренность между двумя или более лицами, предназначенная для достижения ненадлежащей цели, в том числе для неправомерного влияния на действия другого лица.</w:t>
      </w:r>
    </w:p>
    <w:p>
      <w:pPr>
        <w:spacing w:after="120"/>
        <w:jc w:val="both"/>
      </w:pPr>
      <w:r>
        <w:rPr>
          <w:rFonts w:ascii="Arial" w:cs="Arial" w:eastAsia="Arial" w:hAnsi="Arial"/>
          <w:b/>
          <w:bCs/>
          <w:sz w:val="24"/>
          <w:szCs w:val="24"/>
        </w:rPr>
        <w:t xml:space="preserve">Коррупционная практика</w:t>
      </w:r>
      <w:r>
        <w:rPr>
          <w:rFonts w:ascii="Arial" w:cs="Arial" w:eastAsia="Arial" w:hAnsi="Arial"/>
          <w:sz w:val="24"/>
          <w:szCs w:val="24"/>
        </w:rPr>
        <w:t xml:space="preserve">: обещание, предложение, предоставление, создание, настаивание, получение, принятие или ходатайство, прямо или косвенно, любого незаконного платежа или неправомерного преимущества любого характера, или любым лицом, с намерением повлиять на действия любого лица или побуждение любого человека воздерживаться от каких-либо действий.</w:t>
      </w:r>
    </w:p>
    <w:p>
      <w:pPr>
        <w:spacing w:after="120"/>
        <w:jc w:val="both"/>
      </w:pPr>
      <w:r>
        <w:rPr>
          <w:rFonts w:ascii="Arial" w:cs="Arial" w:eastAsia="Arial" w:hAnsi="Arial"/>
          <w:b/>
          <w:bCs/>
          <w:sz w:val="24"/>
          <w:szCs w:val="24"/>
        </w:rPr>
        <w:t xml:space="preserve">Практика мошенничества</w:t>
      </w:r>
      <w:r>
        <w:rPr>
          <w:rFonts w:ascii="Arial" w:cs="Arial" w:eastAsia="Arial" w:hAnsi="Arial"/>
          <w:sz w:val="24"/>
          <w:szCs w:val="24"/>
        </w:rPr>
        <w:t xml:space="preserve">: любое действие или упущение, включая введение в заблуждение, которое умышленно или по неосторожности вводит в заблуждение или пытается ввести в заблуждение лицо, чтобы получить финансовую выгоду или избежать обязательства.</w:t>
      </w:r>
    </w:p>
    <w:p>
      <w:pPr>
        <w:spacing w:after="120"/>
        <w:jc w:val="both"/>
      </w:pPr>
      <w:r>
        <w:rPr>
          <w:rFonts w:ascii="Arial" w:cs="Arial" w:eastAsia="Arial" w:hAnsi="Arial"/>
          <w:b/>
          <w:bCs/>
          <w:sz w:val="24"/>
          <w:szCs w:val="24"/>
        </w:rPr>
        <w:t xml:space="preserve">Практика воспрепятствования</w:t>
      </w:r>
      <w:r>
        <w:rPr>
          <w:rFonts w:ascii="Arial" w:cs="Arial" w:eastAsia="Arial" w:hAnsi="Arial"/>
          <w:sz w:val="24"/>
          <w:szCs w:val="24"/>
        </w:rPr>
        <w:t xml:space="preserve">: (i) умышленное уничтожение, фальсификация, изменение или сокрытие доказательственного материала для расследования или создание ложных заявлений для следователей, чтобы существенно помешать официальному расследованию, касающегося коррупционной практики, мошеннической практики, принудительной практики или сговора. Обращение с угрозами, запугивание или запугивание любого лица, в целях раскрытия информации по вопросам, имеющим отношение к расследованию или (ii) любое действие, направленное на существенное затруднение осуществления доступа KfW к информации, необходимой по договору, официальному расследованию, утверждений о коррупции, мошенничестве, принуждении или сговоре.</w:t>
      </w:r>
    </w:p>
    <w:p>
      <w:pPr>
        <w:spacing w:after="120"/>
        <w:jc w:val="both"/>
      </w:pPr>
      <w:r>
        <w:rPr>
          <w:rFonts w:ascii="Arial" w:cs="Arial" w:eastAsia="Arial" w:hAnsi="Arial"/>
          <w:b/>
          <w:bCs/>
          <w:sz w:val="24"/>
          <w:szCs w:val="24"/>
        </w:rPr>
        <w:t xml:space="preserve">Лицо</w:t>
      </w:r>
      <w:r>
        <w:rPr>
          <w:rFonts w:ascii="Arial" w:cs="Arial" w:eastAsia="Arial" w:hAnsi="Arial"/>
          <w:sz w:val="24"/>
          <w:szCs w:val="24"/>
        </w:rPr>
        <w:t xml:space="preserve">: любое физическое лицо, юридическое лицо, товарищество или некорпоративное объединение.</w:t>
      </w:r>
    </w:p>
    <w:p>
      <w:pPr>
        <w:spacing w:after="120"/>
        <w:jc w:val="both"/>
      </w:pPr>
      <w:r>
        <w:rPr>
          <w:rFonts w:ascii="Arial" w:cs="Arial" w:eastAsia="Arial" w:hAnsi="Arial"/>
          <w:b/>
          <w:bCs/>
          <w:sz w:val="24"/>
          <w:szCs w:val="24"/>
        </w:rPr>
        <w:t xml:space="preserve">Проект</w:t>
      </w:r>
      <w:r>
        <w:rPr>
          <w:rFonts w:ascii="Arial" w:cs="Arial" w:eastAsia="Arial" w:hAnsi="Arial"/>
          <w:sz w:val="24"/>
          <w:szCs w:val="24"/>
        </w:rPr>
        <w:t xml:space="preserve">: любой проект, определенный или описанный в Первоначальных кредитных соглашениях, или любой другой проект или деятельность, финансируемая за счет кредитов, предоставленных в соответствии с такими соглашениями.</w:t>
      </w:r>
    </w:p>
    <w:p>
      <w:pPr>
        <w:spacing w:after="120"/>
        <w:jc w:val="both"/>
      </w:pPr>
      <w:r>
        <w:rPr>
          <w:rFonts w:ascii="Arial" w:cs="Arial" w:eastAsia="Arial" w:hAnsi="Arial"/>
          <w:b/>
          <w:bCs/>
          <w:sz w:val="24"/>
          <w:szCs w:val="24"/>
        </w:rPr>
        <w:t xml:space="preserve">Практика наказания</w:t>
      </w:r>
      <w:r>
        <w:rPr>
          <w:rFonts w:ascii="Arial" w:cs="Arial" w:eastAsia="Arial" w:hAnsi="Arial"/>
          <w:sz w:val="24"/>
          <w:szCs w:val="24"/>
        </w:rPr>
        <w:t xml:space="preserve">: любая принудительная практика, сговор, коррупционная практика, мошенническая практика или препятствующая практика (как такие термины определены в настоящем документе), которая (i) является незаконной в соответствии с немецким или другим применимым законодательством, и (ii) которая имеет или потенциально может оказать существенное правовое или репутационное влияние на настоящее Соглашение между Заемщиком и KfW или его выполнение.</w:t>
      </w:r>
    </w:p>
    <w:p>
      <w:pPr>
        <w:spacing w:after="120"/>
        <w:jc w:val="both"/>
      </w:pPr>
      <w:r>
        <w:rPr>
          <w:rFonts w:ascii="Arial" w:cs="Arial" w:eastAsia="Arial" w:hAnsi="Arial"/>
          <w:b/>
          <w:bCs/>
          <w:sz w:val="24"/>
          <w:szCs w:val="24"/>
        </w:rPr>
        <w:t xml:space="preserve">Санкции</w:t>
      </w:r>
      <w:r>
        <w:rPr>
          <w:rFonts w:ascii="Arial" w:cs="Arial" w:eastAsia="Arial" w:hAnsi="Arial"/>
          <w:sz w:val="24"/>
          <w:szCs w:val="24"/>
        </w:rPr>
        <w:t xml:space="preserve">: законы, положения, эмбарго или ограничительные меры экономических, финансовых или торговых санкций, применяемые, вводимые в действие или применяемые любым санкционирующим органом.</w:t>
      </w:r>
    </w:p>
    <w:p>
      <w:pPr>
        <w:spacing w:after="120"/>
        <w:jc w:val="both"/>
      </w:pPr>
      <w:r>
        <w:rPr>
          <w:rFonts w:ascii="Arial" w:cs="Arial" w:eastAsia="Arial" w:hAnsi="Arial"/>
          <w:sz w:val="24"/>
          <w:szCs w:val="24"/>
        </w:rPr>
        <w:t xml:space="preserve">Санкционирующий орган: любой из Совета Безопасности ООН, Европейского Союза и Федеративной Республики Германия.</w:t>
      </w:r>
    </w:p>
    <w:p>
      <w:pPr>
        <w:spacing w:after="120"/>
        <w:jc w:val="both"/>
      </w:pPr>
      <w:r>
        <w:rPr>
          <w:rFonts w:ascii="Arial" w:cs="Arial" w:eastAsia="Arial" w:hAnsi="Arial"/>
          <w:b/>
          <w:bCs/>
          <w:sz w:val="24"/>
          <w:szCs w:val="24"/>
        </w:rPr>
        <w:t xml:space="preserve">Список санкций</w:t>
      </w:r>
      <w:r>
        <w:rPr>
          <w:rFonts w:ascii="Arial" w:cs="Arial" w:eastAsia="Arial" w:hAnsi="Arial"/>
          <w:sz w:val="24"/>
          <w:szCs w:val="24"/>
        </w:rPr>
        <w:t xml:space="preserve">: любой список специально назначенных лиц, групп или организаций, на которые распространяются санкции, выпущенные любым Санкционирующим органом.</w:t>
      </w:r>
    </w:p>
    <w:p>
      <w:pPr>
        <w:spacing w:after="120"/>
        <w:jc w:val="both"/>
      </w:pPr>
      <w:r>
        <w:rPr>
          <w:rFonts w:ascii="Arial" w:cs="Arial" w:eastAsia="Arial" w:hAnsi="Arial"/>
          <w:b/>
          <w:bCs/>
          <w:sz w:val="24"/>
          <w:szCs w:val="24"/>
        </w:rPr>
        <w:t xml:space="preserve">2. Обязательство по предоставлению информации</w:t>
      </w:r>
    </w:p>
    <w:p>
      <w:pPr>
        <w:spacing w:after="120"/>
        <w:jc w:val="both"/>
      </w:pPr>
      <w:r>
        <w:rPr>
          <w:rFonts w:ascii="Arial" w:cs="Arial" w:eastAsia="Arial" w:hAnsi="Arial"/>
          <w:sz w:val="24"/>
          <w:szCs w:val="24"/>
        </w:rPr>
        <w:t xml:space="preserve">Должник обязан:</w:t>
      </w:r>
    </w:p>
    <w:p>
      <w:pPr>
        <w:spacing w:after="120"/>
        <w:jc w:val="both"/>
      </w:pPr>
      <w:r>
        <w:rPr>
          <w:rFonts w:ascii="Arial" w:cs="Arial" w:eastAsia="Arial" w:hAnsi="Arial"/>
          <w:sz w:val="24"/>
          <w:szCs w:val="24"/>
        </w:rPr>
        <w:t xml:space="preserve">а) своевременно предоставлять по требованию KfW всю соответствующую информацию "знай своего клиента" или аналогичную информацию о Заемщике, которую KfW может запросить;</w:t>
      </w:r>
    </w:p>
    <w:p>
      <w:pPr>
        <w:spacing w:after="120"/>
        <w:jc w:val="both"/>
      </w:pPr>
      <w:r>
        <w:rPr>
          <w:rFonts w:ascii="Arial" w:cs="Arial" w:eastAsia="Arial" w:hAnsi="Arial"/>
          <w:sz w:val="24"/>
          <w:szCs w:val="24"/>
        </w:rPr>
        <w:t xml:space="preserve">б) своевременно предоставлять по требованию KfW полную информацию, связанную с проектом и документацию относительно Заемщика, а также его контрагентов (субподрядчиков) и других заинтересованных сторон, которые KfW требует для выполнения своих обязательств по предотвращению любой санкционной практики, отмывания денег и/или финансирования терроризма, а также для постоянного мониторинга деловых отношений с Заемщиком, требуемых для реализации его целей;</w:t>
      </w:r>
    </w:p>
    <w:p>
      <w:pPr>
        <w:spacing w:after="120"/>
        <w:jc w:val="both"/>
      </w:pPr>
      <w:r>
        <w:rPr>
          <w:rFonts w:ascii="Arial" w:cs="Arial" w:eastAsia="Arial" w:hAnsi="Arial"/>
          <w:sz w:val="24"/>
          <w:szCs w:val="24"/>
        </w:rPr>
        <w:t xml:space="preserve">в) незамедлительно и по своему усмотрению информировать KfW о подтвержденных фактах или при возникновении подозрений относительно применения санкций, фактов отмывания денег и/или финансировании терроризма, связанных с проектом;</w:t>
      </w:r>
    </w:p>
    <w:p>
      <w:pPr>
        <w:spacing w:after="120"/>
        <w:jc w:val="both"/>
      </w:pPr>
      <w:r>
        <w:rPr>
          <w:rFonts w:ascii="Arial" w:cs="Arial" w:eastAsia="Arial" w:hAnsi="Arial"/>
          <w:sz w:val="24"/>
          <w:szCs w:val="24"/>
        </w:rPr>
        <w:t xml:space="preserve">г) предоставлять KfW любую информацию и отчеты о проекте и ходе его реализации, которые KfW может запросить для целей настоящего приложения; а также</w:t>
      </w:r>
    </w:p>
    <w:p>
      <w:pPr>
        <w:spacing w:after="120"/>
        <w:jc w:val="both"/>
      </w:pPr>
      <w:r>
        <w:rPr>
          <w:rFonts w:ascii="Arial" w:cs="Arial" w:eastAsia="Arial" w:hAnsi="Arial"/>
          <w:sz w:val="24"/>
          <w:szCs w:val="24"/>
        </w:rPr>
        <w:t xml:space="preserve">д) разрешить KfW и его агентам в любое время проверять проектную документацию Заемщика, его подрядчика (субподрядчика) и других заинтересованных сторон, а также проверять реализацию проекта на месте и все связанные с ним установки для целей настоящего приложения.</w:t>
      </w:r>
    </w:p>
    <w:p>
      <w:pPr>
        <w:spacing w:after="120"/>
        <w:jc w:val="both"/>
      </w:pPr>
      <w:r>
        <w:rPr>
          <w:rFonts w:ascii="Arial" w:cs="Arial" w:eastAsia="Arial" w:hAnsi="Arial"/>
          <w:b/>
          <w:bCs/>
          <w:sz w:val="24"/>
          <w:szCs w:val="24"/>
        </w:rPr>
        <w:t xml:space="preserve">3. Представительство и гарантия</w:t>
      </w:r>
    </w:p>
    <w:p>
      <w:pPr>
        <w:spacing w:after="120"/>
        <w:jc w:val="both"/>
      </w:pPr>
      <w:r>
        <w:rPr>
          <w:rFonts w:ascii="Arial" w:cs="Arial" w:eastAsia="Arial" w:hAnsi="Arial"/>
          <w:sz w:val="24"/>
          <w:szCs w:val="24"/>
        </w:rPr>
        <w:t xml:space="preserve">3.1. Согласно немецкому законодательству или законодательству страны Заемщика ни одно из лиц, действующих в связи с проектом от имени Заемщика, подтверждает, что не совершало и не занимается какой-либо деятельностью, подпадающими под санкции, отмывание денег или финансирование терроризма.</w:t>
      </w:r>
    </w:p>
    <w:p>
      <w:pPr>
        <w:spacing w:after="120"/>
        <w:jc w:val="both"/>
      </w:pPr>
      <w:r>
        <w:rPr>
          <w:rFonts w:ascii="Arial" w:cs="Arial" w:eastAsia="Arial" w:hAnsi="Arial"/>
          <w:sz w:val="24"/>
          <w:szCs w:val="24"/>
        </w:rPr>
        <w:t xml:space="preserve">3.2. Представительство и гарантия, изложенные в настоящей статье, впервые предоставляются при исполнении настоящего Договора. Он будет считаться повторным в каждую дату погашения, указанную в статье 2.2 настоящего Соглашения, и, если какие-либо суммы все еще подлежат выплате в соответствии с настоящим Соглашением, через полгода после последней даты погашения, указанной в нем (в каждом случае со ссылкой на обстоятельства, преобладающие на эту дату).</w:t>
      </w:r>
    </w:p>
    <w:p>
      <w:pPr>
        <w:spacing w:after="120"/>
        <w:jc w:val="both"/>
      </w:pPr>
      <w:r>
        <w:rPr>
          <w:rFonts w:ascii="Arial" w:cs="Arial" w:eastAsia="Arial" w:hAnsi="Arial"/>
          <w:b/>
          <w:bCs/>
          <w:sz w:val="24"/>
          <w:szCs w:val="24"/>
        </w:rPr>
        <w:t xml:space="preserve">4. Позитивные обязательства</w:t>
      </w:r>
    </w:p>
    <w:p>
      <w:pPr>
        <w:spacing w:after="120"/>
        <w:jc w:val="both"/>
      </w:pPr>
      <w:r>
        <w:rPr>
          <w:rFonts w:ascii="Arial" w:cs="Arial" w:eastAsia="Arial" w:hAnsi="Arial"/>
          <w:sz w:val="24"/>
          <w:szCs w:val="24"/>
        </w:rPr>
        <w:t xml:space="preserve">Должник обязуется, как только должнику или KfW станет известно или возникнут подозрения в какой-либо санкционной практике, акте отмывания денег или финансировании терроризма, в полной мере сотрудничать с KfW и ее агентами в определении того, имел ли место такой инцидент с соблюдением требований. В частности, должник должен оперативно и достаточно подробно ответить на любое уведомление KfW и предоставить документальное подтверждение такого ответа по запросу KfW.</w:t>
      </w:r>
    </w:p>
    <w:p>
      <w:pPr>
        <w:spacing w:after="120"/>
        <w:jc w:val="both"/>
      </w:pPr>
      <w:r>
        <w:rPr>
          <w:rFonts w:ascii="Arial" w:cs="Arial" w:eastAsia="Arial" w:hAnsi="Arial"/>
          <w:b/>
          <w:bCs/>
          <w:sz w:val="24"/>
          <w:szCs w:val="24"/>
        </w:rPr>
        <w:t xml:space="preserve">5. Негативные обязательства</w:t>
      </w:r>
    </w:p>
    <w:p>
      <w:pPr>
        <w:spacing w:after="120"/>
        <w:jc w:val="both"/>
      </w:pPr>
      <w:r>
        <w:rPr>
          <w:rFonts w:ascii="Arial" w:cs="Arial" w:eastAsia="Arial" w:hAnsi="Arial"/>
          <w:sz w:val="24"/>
          <w:szCs w:val="24"/>
        </w:rPr>
        <w:t xml:space="preserve">Заемщик не будет заключать никаких договоров или заниматься какой-либо другой деятельностью с проектом, которая будет подпадать под действие санкций.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avtogbss6wyb0aedlum">
      <w:r>
        <w:rPr>
          <w:rFonts w:ascii="Arial" w:cs="Arial" w:eastAsia="Arial" w:hAnsi="Arial"/>
          <w:color w:val="132D3F"/>
          <w:sz w:val="16"/>
          <w:szCs w:val="16"/>
          <w:u w:val="single"/>
        </w:rPr>
        <w:t xml:space="preserve">dalil.kg/document/218315</w:t>
      </w:r>
    </w:hyperlink>
  </w:p>
  <w:p>
    <w:pPr>
      <w:spacing w:after="0" w:before="40"/>
      <w:jc w:val="center"/>
    </w:pPr>
    <w:hyperlink w:history="1" r:id="rIddiv-jdn7xy5bal72nr4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pbxfokdp2auhoru2vc8" Type="http://schemas.openxmlformats.org/officeDocument/2006/relationships/hyperlink" Target="https://dalil.kg/document/218315#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avtogbss6wyb0aedlum" Type="http://schemas.openxmlformats.org/officeDocument/2006/relationships/hyperlink" Target="https://dalil.kg/document/218315" TargetMode="External"/><Relationship Id="rIddiv-jdn7xy5bal72nr4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2026-10-01T18:16:38.719Z</dcterms:created>
  <dcterms:modified xsi:type="dcterms:W3CDTF">2026-10-01T18:16:38.719Z</dcterms:modified>
</cp:coreProperties>
</file>

<file path=docProps/custom.xml><?xml version="1.0" encoding="utf-8"?>
<Properties xmlns="http://schemas.openxmlformats.org/officeDocument/2006/custom-properties" xmlns:vt="http://schemas.openxmlformats.org/officeDocument/2006/docPropsVTypes"/>
</file>