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29 января 2021 года № 16-р</w:t>
      </w:r>
    </w:p>
    <w:p>
      <w:pPr>
        <w:spacing w:after="120"/>
        <w:jc w:val="both"/>
      </w:pPr>
      <w:r>
        <w:rPr>
          <w:rFonts w:ascii="Arial" w:cs="Arial" w:eastAsia="Arial" w:hAnsi="Arial"/>
          <w:sz w:val="24"/>
          <w:szCs w:val="24"/>
        </w:rPr>
        <w:t xml:space="preserve">В целях своевременной и качественной подготовки проекта Основных направлений фискальной политики Кыргызской Республики на 2022-2024 годы и проекта Закона Кыргызской Республики "О республиканском бюджете Кыргызской Республики на 2022 год и прогнозе на 2023-2024 годы", в соответствии со статьей 81 Бюджетного </w:t>
      </w:r>
      <w:hyperlink w:history="1" r:id="rIdwbvyrq5takgvhprk5rkl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 Министерству экономики Кыргызской Республики в срок до 31 марта 2021 года направить в Министерство финансов Кыргызской Республики Среднесрочный прогноз социально-экономического развития Кыргызской Республики на 2022-2024 годы.</w:t>
      </w:r>
    </w:p>
    <w:p>
      <w:pPr>
        <w:spacing w:after="120"/>
        <w:jc w:val="both"/>
      </w:pPr>
      <w:r>
        <w:rPr>
          <w:rFonts w:ascii="Arial" w:cs="Arial" w:eastAsia="Arial" w:hAnsi="Arial"/>
          <w:sz w:val="24"/>
          <w:szCs w:val="24"/>
        </w:rPr>
        <w:t xml:space="preserve">2. Государственному комитету промышленности, энергетики и недропользования Кыргызской Республики в срок до 10 апреля 2021 года представить в Министерство финансов Кыргызской Республики прогноз поступлений по налогу за право пользования недрами (бонус), по сбору за право пользования недрами месторождений полезных ископаемых или ископаемого топлива, по сбору за удержание лицензии на право пользования недрами на 2022-2024 годы.</w:t>
      </w:r>
    </w:p>
    <w:p>
      <w:pPr>
        <w:spacing w:after="120"/>
        <w:jc w:val="both"/>
      </w:pPr>
      <w:r>
        <w:rPr>
          <w:rFonts w:ascii="Arial" w:cs="Arial" w:eastAsia="Arial" w:hAnsi="Arial"/>
          <w:sz w:val="24"/>
          <w:szCs w:val="24"/>
        </w:rPr>
        <w:t xml:space="preserve">3. Государственной таможенной службе при Правительстве Кыргызской Республики, Государственной налоговой службе при Правительстве Кыргызской Республики в срок до 10 апреля 2021 года представить в Министерство финансов Кыргызской Республики обоснованный прогноз поступлений в бюджет налогов и неналоговых доходов на 2022-2024 годы.</w:t>
      </w:r>
    </w:p>
    <w:p>
      <w:pPr>
        <w:spacing w:after="120"/>
        <w:jc w:val="both"/>
      </w:pPr>
      <w:r>
        <w:rPr>
          <w:rFonts w:ascii="Arial" w:cs="Arial" w:eastAsia="Arial" w:hAnsi="Arial"/>
          <w:sz w:val="24"/>
          <w:szCs w:val="24"/>
        </w:rPr>
        <w:t xml:space="preserve">4. Фонду по управлению государственным имуществом при Правительстве Кыргызской Республики в срок до 10 апреля 2021 года представить в Министерство финансов Кыргызской Республики прогноз поступлений по приватизации государственной собственности, дивидендам, начисленным на государственный пакет акций, прибыли государственных предприятий в разрезе хозяйствующих субъектов, а также прогноз поступлений платы за аренду помещений, зданий и сооружений, находящихся в государственной собственности на 2022-2024 годы.</w:t>
      </w:r>
    </w:p>
    <w:p>
      <w:pPr>
        <w:spacing w:after="120"/>
        <w:jc w:val="both"/>
      </w:pPr>
      <w:r>
        <w:rPr>
          <w:rFonts w:ascii="Arial" w:cs="Arial" w:eastAsia="Arial" w:hAnsi="Arial"/>
          <w:sz w:val="24"/>
          <w:szCs w:val="24"/>
        </w:rPr>
        <w:t xml:space="preserve">5. Социальному фонду Кыргызской Республики и Фонду обязательного медицинского страхования при Правительстве Кыргызской Республики в срок до 10 апреля 2021 года представить в Министерство финансов Кыргызской Республики исполнение бюджета по доходам и расходам за 2020 год, утвержденные данные на 2021 год и прогноз финансовых ресурсов и расходов на 2022-2024 годы для формирования консолидированного бюджета.</w:t>
      </w:r>
    </w:p>
    <w:p>
      <w:pPr>
        <w:spacing w:after="120"/>
        <w:jc w:val="both"/>
      </w:pPr>
      <w:r>
        <w:rPr>
          <w:rFonts w:ascii="Arial" w:cs="Arial" w:eastAsia="Arial" w:hAnsi="Arial"/>
          <w:sz w:val="24"/>
          <w:szCs w:val="24"/>
        </w:rPr>
        <w:t xml:space="preserve">6. Утвердить </w:t>
      </w:r>
      <w:hyperlink w:history="1" r:id="rIdhmtfwi6tqa8fhc5i086og">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государственных органов исполнительной власти, представляющих секторальные стратегии бюджетных расходов (далее - ССБР) на 2022-2024 годы, согласно приложению.</w:t>
      </w:r>
    </w:p>
    <w:p>
      <w:pPr>
        <w:spacing w:after="120"/>
        <w:jc w:val="both"/>
      </w:pPr>
      <w:r>
        <w:rPr>
          <w:rFonts w:ascii="Arial" w:cs="Arial" w:eastAsia="Arial" w:hAnsi="Arial"/>
          <w:sz w:val="24"/>
          <w:szCs w:val="24"/>
        </w:rPr>
        <w:t xml:space="preserve">7. Государственным органам исполнительной власти, указанным в приложении к настоящему распоряжению и представляющим ССБР к проекту Основных направлений фискальной политики на 2022-2024 годы:</w:t>
      </w:r>
    </w:p>
    <w:p>
      <w:pPr>
        <w:spacing w:after="120"/>
        <w:jc w:val="both"/>
      </w:pPr>
      <w:r>
        <w:rPr>
          <w:rFonts w:ascii="Arial" w:cs="Arial" w:eastAsia="Arial" w:hAnsi="Arial"/>
          <w:sz w:val="24"/>
          <w:szCs w:val="24"/>
        </w:rPr>
        <w:t xml:space="preserve">1) в срок до 15 апреля 2021 года опубликовать проект ССБР, за исключением уполномоченных государственных органов, ведающих вопросами обороны и охраны правопорядка, на ведомственном официальном веб-сайте, с оповещением о времени и месте проведения общественных слушаний;</w:t>
      </w:r>
    </w:p>
    <w:p>
      <w:pPr>
        <w:spacing w:after="120"/>
        <w:jc w:val="both"/>
      </w:pPr>
      <w:r>
        <w:rPr>
          <w:rFonts w:ascii="Arial" w:cs="Arial" w:eastAsia="Arial" w:hAnsi="Arial"/>
          <w:sz w:val="24"/>
          <w:szCs w:val="24"/>
        </w:rPr>
        <w:t xml:space="preserve">2) в срок до 26 апреля 2021 года провести общественное обсуждение секторальных стратегий, за исключением уполномоченного государственного органа, ведающего вопросами обороны, с участием представителей заинтересованных государственных органов;</w:t>
      </w:r>
    </w:p>
    <w:p>
      <w:pPr>
        <w:spacing w:after="120"/>
        <w:jc w:val="both"/>
      </w:pPr>
      <w:r>
        <w:rPr>
          <w:rFonts w:ascii="Arial" w:cs="Arial" w:eastAsia="Arial" w:hAnsi="Arial"/>
          <w:sz w:val="24"/>
          <w:szCs w:val="24"/>
        </w:rPr>
        <w:t xml:space="preserve">3) в срок до 1 мая 2021 года представить в Министерство финансов Кыргызской Республики пакет документов по проекту ССБР на 2022-2024 годы по соответствующим направлениям в соответствии с </w:t>
      </w:r>
      <w:hyperlink w:history="1" r:id="rIdmu89yrjcfpa8d1bmxdo2y">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формирования, рассмотрения и исполнения среднесрочных стратегий бюджетных расходов, утвержденной </w:t>
      </w:r>
      <w:hyperlink w:history="1" r:id="rIdkqdxxrqp4wgfuloa7qay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2017 года № 854.</w:t>
      </w:r>
    </w:p>
    <w:p>
      <w:pPr>
        <w:spacing w:after="120"/>
        <w:jc w:val="both"/>
      </w:pPr>
      <w:r>
        <w:rPr>
          <w:rFonts w:ascii="Arial" w:cs="Arial" w:eastAsia="Arial" w:hAnsi="Arial"/>
          <w:sz w:val="24"/>
          <w:szCs w:val="24"/>
        </w:rPr>
        <w:t xml:space="preserve">8. Государственным органам исполнительной власти представить в Министерство финансов Кыргызской Республики:</w:t>
      </w:r>
    </w:p>
    <w:p>
      <w:pPr>
        <w:spacing w:after="120"/>
        <w:jc w:val="both"/>
      </w:pPr>
      <w:r>
        <w:rPr>
          <w:rFonts w:ascii="Arial" w:cs="Arial" w:eastAsia="Arial" w:hAnsi="Arial"/>
          <w:sz w:val="24"/>
          <w:szCs w:val="24"/>
        </w:rPr>
        <w:t xml:space="preserve">1) в срок до 10 апреля 2021 года - планируемые расходы с учетом изменений, внесенных в нормативные правовые акты, прогноз по средствам, аккумулируемым на специальных счетах, на 2022-2024 годы, с соответствующими расчетами и обоснованием;</w:t>
      </w:r>
    </w:p>
    <w:p>
      <w:pPr>
        <w:spacing w:after="120"/>
        <w:jc w:val="both"/>
      </w:pPr>
      <w:r>
        <w:rPr>
          <w:rFonts w:ascii="Arial" w:cs="Arial" w:eastAsia="Arial" w:hAnsi="Arial"/>
          <w:sz w:val="24"/>
          <w:szCs w:val="24"/>
        </w:rPr>
        <w:t xml:space="preserve">2) в срок до 26 июля 2021 года, в соответствии с доведенными контрольными цифрами по бюджетным средствам на 2022-2024 годы:</w:t>
      </w:r>
    </w:p>
    <w:p>
      <w:pPr>
        <w:spacing w:after="120"/>
        <w:jc w:val="both"/>
      </w:pPr>
      <w:r>
        <w:rPr>
          <w:rFonts w:ascii="Arial" w:cs="Arial" w:eastAsia="Arial" w:hAnsi="Arial"/>
          <w:sz w:val="24"/>
          <w:szCs w:val="24"/>
        </w:rPr>
        <w:t xml:space="preserve">- проекты бюджетов на программной основе на 2022-2024 годы в соответствии с </w:t>
      </w:r>
      <w:hyperlink w:history="1" r:id="rIdqdzvqh6cequ-fshi3zg6j">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формирования, рассмотрения и исполнения бюджетов на программной основе, утвержденной </w:t>
      </w:r>
      <w:hyperlink w:history="1" r:id="rId18dpa5plhdtp5hby2qqj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30 декабря 2017 года № 854;</w:t>
      </w:r>
    </w:p>
    <w:p>
      <w:pPr>
        <w:spacing w:after="120"/>
        <w:jc w:val="both"/>
      </w:pPr>
      <w:r>
        <w:rPr>
          <w:rFonts w:ascii="Arial" w:cs="Arial" w:eastAsia="Arial" w:hAnsi="Arial"/>
          <w:sz w:val="24"/>
          <w:szCs w:val="24"/>
        </w:rPr>
        <w:t xml:space="preserve">- проекты сводных смет расходов бюджетных средств и смет доходов и расходов по средствам, аккумулируемым на специальных счетах, на 2022-2024 годы, основанных на государственных отраслевых программах развития, с необходимыми расчетами на программной основе и обоснованием, в соответствии с рекомендациями и формами смет, утвержденными Министерством финансов Кыргызской Республики.</w:t>
      </w:r>
    </w:p>
    <w:p>
      <w:pPr>
        <w:spacing w:after="120"/>
        <w:jc w:val="both"/>
      </w:pPr>
      <w:r>
        <w:rPr>
          <w:rFonts w:ascii="Arial" w:cs="Arial" w:eastAsia="Arial" w:hAnsi="Arial"/>
          <w:sz w:val="24"/>
          <w:szCs w:val="24"/>
        </w:rPr>
        <w:t xml:space="preserve">9. Министерству финансов Кыргызской Республики:</w:t>
      </w:r>
    </w:p>
    <w:p>
      <w:pPr>
        <w:spacing w:after="120"/>
        <w:jc w:val="both"/>
      </w:pPr>
      <w:r>
        <w:rPr>
          <w:rFonts w:ascii="Arial" w:cs="Arial" w:eastAsia="Arial" w:hAnsi="Arial"/>
          <w:sz w:val="24"/>
          <w:szCs w:val="24"/>
        </w:rPr>
        <w:t xml:space="preserve">1) в срок до 27 апреля 2021 года довести до министерств, государственных комитетов и административных ведомств проекты контрольных цифр по бюджетным средствам на 2022-2024 годы в соответствии с прогнозом по ресурсам;</w:t>
      </w:r>
    </w:p>
    <w:p>
      <w:pPr>
        <w:spacing w:after="120"/>
        <w:jc w:val="both"/>
      </w:pPr>
      <w:r>
        <w:rPr>
          <w:rFonts w:ascii="Arial" w:cs="Arial" w:eastAsia="Arial" w:hAnsi="Arial"/>
          <w:sz w:val="24"/>
          <w:szCs w:val="24"/>
        </w:rPr>
        <w:t xml:space="preserve">2) в срок до 10 мая 2021 года провести рабочие совещания по снятию разногласий по контрольным цифрам с участием представителей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3) в срок до 20 мая 2021 года разработать проект Основных направлений фискальной политики Кыргызской Республики на 2022-2024 годы, включающий общие контрольные цифры по расходам для министерств, государственных комитетов и административных ведомств на 2022-2024 годы, для рассмотрения в Совете Правительства Кыргызской Республики по фискальной и инвестиционной политике;</w:t>
      </w:r>
    </w:p>
    <w:p>
      <w:pPr>
        <w:spacing w:after="120"/>
        <w:jc w:val="both"/>
      </w:pPr>
      <w:r>
        <w:rPr>
          <w:rFonts w:ascii="Arial" w:cs="Arial" w:eastAsia="Arial" w:hAnsi="Arial"/>
          <w:sz w:val="24"/>
          <w:szCs w:val="24"/>
        </w:rPr>
        <w:t xml:space="preserve">4) в срок до 5 июня 2021 года, по результатам рассмотрения разногласий по контрольным цифрам с министерствами, государственными комитетами, административными ведомствами и иными органами исполнительной власти Кыргызской Республики, подготовить и представить проект решения Правительства Кыргызской Республики об утверждении Основных направлений фискальной политики Кыргызской Республики на 2022-2024 годы;</w:t>
      </w:r>
    </w:p>
    <w:p>
      <w:pPr>
        <w:spacing w:after="120"/>
        <w:jc w:val="both"/>
      </w:pPr>
      <w:r>
        <w:rPr>
          <w:rFonts w:ascii="Arial" w:cs="Arial" w:eastAsia="Arial" w:hAnsi="Arial"/>
          <w:sz w:val="24"/>
          <w:szCs w:val="24"/>
        </w:rPr>
        <w:t xml:space="preserve">5) в срок до 10 июля 2021 года довести контрольные цифры, утвержденные постановлением Правительства Кыргызской Республики, до министерств, государственных комитетов, административных ведомств и иных органов исполнительной власти;</w:t>
      </w:r>
    </w:p>
    <w:p>
      <w:pPr>
        <w:spacing w:after="120"/>
        <w:jc w:val="both"/>
      </w:pPr>
      <w:r>
        <w:rPr>
          <w:rFonts w:ascii="Arial" w:cs="Arial" w:eastAsia="Arial" w:hAnsi="Arial"/>
          <w:sz w:val="24"/>
          <w:szCs w:val="24"/>
        </w:rPr>
        <w:t xml:space="preserve">6) в срок до 6 сентября 2021 года провести общественные слушания по проекту Закона Кыргызской Республики "О республиканском бюджете Кыргызской Республики на 2022 год и прогнозе на 2023-2024 годы";</w:t>
      </w:r>
    </w:p>
    <w:p>
      <w:pPr>
        <w:spacing w:after="120"/>
        <w:jc w:val="both"/>
      </w:pPr>
      <w:r>
        <w:rPr>
          <w:rFonts w:ascii="Arial" w:cs="Arial" w:eastAsia="Arial" w:hAnsi="Arial"/>
          <w:sz w:val="24"/>
          <w:szCs w:val="24"/>
        </w:rPr>
        <w:t xml:space="preserve">7) в срок до 15 сентября 2021 года представить на рассмотрение Правительства Кыргызской Республики проект Закона Кыргызской Республики "О республиканском бюджете Кыргызской Республики на 2022 год и прогнозе на 2023-2024 годы".</w:t>
      </w:r>
    </w:p>
    <w:p>
      <w:pPr>
        <w:spacing w:after="120"/>
        <w:jc w:val="both"/>
      </w:pPr>
      <w:r>
        <w:rPr>
          <w:rFonts w:ascii="Arial" w:cs="Arial" w:eastAsia="Arial" w:hAnsi="Arial"/>
          <w:sz w:val="24"/>
          <w:szCs w:val="24"/>
        </w:rPr>
        <w:t xml:space="preserve">10. Контроль за исполнением настоящего распоряжения возложить на отдел финансовой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w:t>
      </w:r>
      <w:r>
        <w:rPr>
          <w:rFonts w:ascii="Arial" w:cs="Arial" w:eastAsia="Arial" w:hAnsi="Arial"/>
          <w:sz w:val="24"/>
          <w:szCs w:val="24"/>
        </w:rPr>
        <w:t xml:space="preserve">	</w:t>
      </w:r>
      <w:r>
        <w:rPr>
          <w:rFonts w:ascii="Arial" w:cs="Arial" w:eastAsia="Arial" w:hAnsi="Arial"/>
          <w:sz w:val="24"/>
          <w:szCs w:val="24"/>
        </w:rPr>
        <w:t xml:space="preserve">А.Э.Новиков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государственных органов исполнительной власти, представляющих секторальные стратегии бюджетных расходов на 2022-2024 годы</w:t>
      </w:r>
    </w:p>
    <w:p>
      <w:pPr>
        <w:spacing w:after="120"/>
        <w:jc w:val="both"/>
      </w:pPr>
      <w:r>
        <w:rPr>
          <w:rFonts w:ascii="Arial" w:cs="Arial" w:eastAsia="Arial" w:hAnsi="Arial"/>
          <w:sz w:val="24"/>
          <w:szCs w:val="24"/>
        </w:rPr>
        <w:t xml:space="preserve">1. Министерство образования и науки Кыргызской Республики</w:t>
      </w:r>
    </w:p>
    <w:p>
      <w:pPr>
        <w:spacing w:after="120"/>
        <w:jc w:val="both"/>
      </w:pPr>
      <w:r>
        <w:rPr>
          <w:rFonts w:ascii="Arial" w:cs="Arial" w:eastAsia="Arial" w:hAnsi="Arial"/>
          <w:sz w:val="24"/>
          <w:szCs w:val="24"/>
        </w:rPr>
        <w:t xml:space="preserve">2. Министерство здравоохранения Кыргызской Республики</w:t>
      </w:r>
    </w:p>
    <w:p>
      <w:pPr>
        <w:spacing w:after="120"/>
        <w:jc w:val="both"/>
      </w:pPr>
      <w:r>
        <w:rPr>
          <w:rFonts w:ascii="Arial" w:cs="Arial" w:eastAsia="Arial" w:hAnsi="Arial"/>
          <w:sz w:val="24"/>
          <w:szCs w:val="24"/>
        </w:rPr>
        <w:t xml:space="preserve">3. Министерство труда и социального развития Кыргызской Республики</w:t>
      </w:r>
    </w:p>
    <w:p>
      <w:pPr>
        <w:spacing w:after="120"/>
        <w:jc w:val="both"/>
      </w:pPr>
      <w:r>
        <w:rPr>
          <w:rFonts w:ascii="Arial" w:cs="Arial" w:eastAsia="Arial" w:hAnsi="Arial"/>
          <w:sz w:val="24"/>
          <w:szCs w:val="24"/>
        </w:rPr>
        <w:t xml:space="preserve">4. Министерство сельского хозяйства, пищевой промышленности и мелиорации Кыргызской Республики</w:t>
      </w:r>
    </w:p>
    <w:p>
      <w:pPr>
        <w:spacing w:after="120"/>
        <w:jc w:val="both"/>
      </w:pPr>
      <w:r>
        <w:rPr>
          <w:rFonts w:ascii="Arial" w:cs="Arial" w:eastAsia="Arial" w:hAnsi="Arial"/>
          <w:sz w:val="24"/>
          <w:szCs w:val="24"/>
        </w:rPr>
        <w:t xml:space="preserve">5. Министерство транспорта и дорог Кыргызской Республики</w:t>
      </w:r>
    </w:p>
    <w:p>
      <w:pPr>
        <w:spacing w:after="120"/>
        <w:jc w:val="both"/>
      </w:pPr>
      <w:r>
        <w:rPr>
          <w:rFonts w:ascii="Arial" w:cs="Arial" w:eastAsia="Arial" w:hAnsi="Arial"/>
          <w:sz w:val="24"/>
          <w:szCs w:val="24"/>
        </w:rPr>
        <w:t xml:space="preserve">6. Министерство внутренних дел Кыргызской Республики</w:t>
      </w:r>
    </w:p>
    <w:p>
      <w:pPr>
        <w:spacing w:after="120"/>
        <w:jc w:val="both"/>
      </w:pPr>
      <w:r>
        <w:rPr>
          <w:rFonts w:ascii="Arial" w:cs="Arial" w:eastAsia="Arial" w:hAnsi="Arial"/>
          <w:sz w:val="24"/>
          <w:szCs w:val="24"/>
        </w:rPr>
        <w:t xml:space="preserve">7. Министерство чрезвычайных ситуаций Кыргызской Республики</w:t>
      </w:r>
    </w:p>
    <w:p>
      <w:pPr>
        <w:spacing w:after="120"/>
        <w:jc w:val="both"/>
      </w:pPr>
      <w:r>
        <w:rPr>
          <w:rFonts w:ascii="Arial" w:cs="Arial" w:eastAsia="Arial" w:hAnsi="Arial"/>
          <w:sz w:val="24"/>
          <w:szCs w:val="24"/>
        </w:rPr>
        <w:t xml:space="preserve">8. Министерство культуры, информации и туризма Кыргызской Республики</w:t>
      </w:r>
    </w:p>
    <w:p>
      <w:pPr>
        <w:spacing w:after="120"/>
        <w:jc w:val="both"/>
      </w:pPr>
      <w:r>
        <w:rPr>
          <w:rFonts w:ascii="Arial" w:cs="Arial" w:eastAsia="Arial" w:hAnsi="Arial"/>
          <w:sz w:val="24"/>
          <w:szCs w:val="24"/>
        </w:rPr>
        <w:t xml:space="preserve">9. Министерство иностранных дел Кыргызской Республики</w:t>
      </w:r>
    </w:p>
    <w:p>
      <w:pPr>
        <w:spacing w:after="120"/>
        <w:jc w:val="both"/>
      </w:pPr>
      <w:r>
        <w:rPr>
          <w:rFonts w:ascii="Arial" w:cs="Arial" w:eastAsia="Arial" w:hAnsi="Arial"/>
          <w:sz w:val="24"/>
          <w:szCs w:val="24"/>
        </w:rPr>
        <w:t xml:space="preserve">10. Министерство экономики Кыргызской Республики</w:t>
      </w:r>
    </w:p>
    <w:p>
      <w:pPr>
        <w:spacing w:after="120"/>
        <w:jc w:val="both"/>
      </w:pPr>
      <w:r>
        <w:rPr>
          <w:rFonts w:ascii="Arial" w:cs="Arial" w:eastAsia="Arial" w:hAnsi="Arial"/>
          <w:sz w:val="24"/>
          <w:szCs w:val="24"/>
        </w:rPr>
        <w:t xml:space="preserve">11. Государственный комитет по делам обороны Кыргызской Республики</w:t>
      </w:r>
    </w:p>
    <w:p>
      <w:pPr>
        <w:spacing w:after="120"/>
        <w:jc w:val="both"/>
      </w:pPr>
      <w:r>
        <w:rPr>
          <w:rFonts w:ascii="Arial" w:cs="Arial" w:eastAsia="Arial" w:hAnsi="Arial"/>
          <w:sz w:val="24"/>
          <w:szCs w:val="24"/>
        </w:rPr>
        <w:t xml:space="preserve">12. Государственный комитет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13. Государственный комитет информационных технологий и связи Кыргызской Республики</w:t>
      </w:r>
    </w:p>
    <w:p>
      <w:pPr>
        <w:spacing w:after="120"/>
        <w:jc w:val="both"/>
      </w:pPr>
      <w:r>
        <w:rPr>
          <w:rFonts w:ascii="Arial" w:cs="Arial" w:eastAsia="Arial" w:hAnsi="Arial"/>
          <w:sz w:val="24"/>
          <w:szCs w:val="24"/>
        </w:rPr>
        <w:t xml:space="preserve">14. Государственное агентство по делам молодежи,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15. Государственное агентство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16. Государственное агентство по земельным ресурсам при Правительстве Кыргызской Республики</w:t>
      </w:r>
    </w:p>
    <w:p>
      <w:pPr>
        <w:spacing w:after="120"/>
        <w:jc w:val="both"/>
      </w:pPr>
      <w:r>
        <w:rPr>
          <w:rFonts w:ascii="Arial" w:cs="Arial" w:eastAsia="Arial" w:hAnsi="Arial"/>
          <w:sz w:val="24"/>
          <w:szCs w:val="24"/>
        </w:rPr>
        <w:t xml:space="preserve">17. Государственное агентство водных ресурсов при Правительстве Кыргызской Республики</w:t>
      </w:r>
    </w:p>
    <w:p>
      <w:pPr>
        <w:spacing w:after="120"/>
        <w:jc w:val="both"/>
      </w:pPr>
      <w:r>
        <w:rPr>
          <w:rFonts w:ascii="Arial" w:cs="Arial" w:eastAsia="Arial" w:hAnsi="Arial"/>
          <w:sz w:val="24"/>
          <w:szCs w:val="24"/>
        </w:rPr>
        <w:t xml:space="preserve">18. Государственная служба миграции при Правительстве Кыргызской Республики</w:t>
      </w:r>
    </w:p>
    <w:p>
      <w:pPr>
        <w:spacing w:after="120"/>
        <w:jc w:val="both"/>
      </w:pPr>
      <w:r>
        <w:rPr>
          <w:rFonts w:ascii="Arial" w:cs="Arial" w:eastAsia="Arial" w:hAnsi="Arial"/>
          <w:sz w:val="24"/>
          <w:szCs w:val="24"/>
        </w:rPr>
        <w:t xml:space="preserve">19. Государственная инспекция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20. Государственная инспекция по ветеринарной и фитосанитарной безопасности при Правительстве Кыргызской Республики</w:t>
      </w:r>
    </w:p>
    <w:p>
      <w:pPr>
        <w:spacing w:after="120"/>
        <w:jc w:val="both"/>
      </w:pPr>
      <w:r>
        <w:rPr>
          <w:rFonts w:ascii="Arial" w:cs="Arial" w:eastAsia="Arial" w:hAnsi="Arial"/>
          <w:sz w:val="24"/>
          <w:szCs w:val="24"/>
        </w:rPr>
        <w:t xml:space="preserve">21. Социальный фонд Кыргызской Республики</w:t>
      </w:r>
    </w:p>
    <w:p>
      <w:pPr>
        <w:spacing w:after="120"/>
        <w:jc w:val="both"/>
      </w:pPr>
      <w:r>
        <w:rPr>
          <w:rFonts w:ascii="Arial" w:cs="Arial" w:eastAsia="Arial" w:hAnsi="Arial"/>
          <w:sz w:val="24"/>
          <w:szCs w:val="24"/>
        </w:rPr>
        <w:t xml:space="preserve">22. Фонд обязательного медицинского страхования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rokkdwumn6frifkt_p7">
      <w:r>
        <w:rPr>
          <w:rFonts w:ascii="Arial" w:cs="Arial" w:eastAsia="Arial" w:hAnsi="Arial"/>
          <w:color w:val="132D3F"/>
          <w:sz w:val="16"/>
          <w:szCs w:val="16"/>
          <w:u w:val="single"/>
        </w:rPr>
        <w:t xml:space="preserve">dalil.kg/document/218421</w:t>
      </w:r>
    </w:hyperlink>
  </w:p>
  <w:p>
    <w:pPr>
      <w:spacing w:after="0" w:before="40"/>
      <w:jc w:val="center"/>
    </w:pPr>
    <w:hyperlink w:history="1" r:id="rIdskry31vcjjbmwdb20wn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bvyrq5takgvhprk5rkla" Type="http://schemas.openxmlformats.org/officeDocument/2006/relationships/hyperlink" Target="https://dalil.kg/document/111338" TargetMode="External"/><Relationship Id="rIdhmtfwi6tqa8fhc5i086og" Type="http://schemas.openxmlformats.org/officeDocument/2006/relationships/hyperlink" Target="https://dalil.kg/document/218421#p1" TargetMode="External"/><Relationship Id="rIdmu89yrjcfpa8d1bmxdo2y" Type="http://schemas.openxmlformats.org/officeDocument/2006/relationships/hyperlink" Target="https://dalil.kg/document/11525" TargetMode="External"/><Relationship Id="rIdkqdxxrqp4wgfuloa7qaye" Type="http://schemas.openxmlformats.org/officeDocument/2006/relationships/hyperlink" Target="https://dalil.kg/document/11524" TargetMode="External"/><Relationship Id="rIdqdzvqh6cequ-fshi3zg6j" Type="http://schemas.openxmlformats.org/officeDocument/2006/relationships/hyperlink" Target="https://dalil.kg/document/11526" TargetMode="External"/><Relationship Id="rId18dpa5plhdtp5hby2qqj0" Type="http://schemas.openxmlformats.org/officeDocument/2006/relationships/hyperlink" Target="https://dalil.kg/document/1152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rokkdwumn6frifkt_p7" Type="http://schemas.openxmlformats.org/officeDocument/2006/relationships/hyperlink" Target="https://dalil.kg/document/218421" TargetMode="External"/><Relationship Id="rIdskry31vcjjbmwdb20wn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2026-10-01T11:45:09.661Z</dcterms:created>
  <dcterms:modified xsi:type="dcterms:W3CDTF">2026-10-01T11:45:09.661Z</dcterms:modified>
</cp:coreProperties>
</file>

<file path=docProps/custom.xml><?xml version="1.0" encoding="utf-8"?>
<Properties xmlns="http://schemas.openxmlformats.org/officeDocument/2006/custom-properties" xmlns:vt="http://schemas.openxmlformats.org/officeDocument/2006/docPropsVTypes"/>
</file>