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марта 2021 года № 184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значительный вклад в развитие кыргызско-российского межрегионального торгово-экономического и культурно-гуманитарного сотрудничества, укрепление союзнических отношений и стратегического партнерства между Кыргызской Республикой и Российской Федерацией, в соответствии со статьей 18 конституционного </w:t>
      </w:r>
      <w:hyperlink w:history="1" r:id="rIdwasmqfpxfxaoup-gkgp7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Наградить Почетной грамотой Правительства Кыргызской Республики Куйвашева Евгения Владимировича, Губернатора Свердловской области Российской Федерации.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l92gmtk0q_vi14whwg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dalil.kg/document/218464</w:t>
      </w:r>
    </w:hyperlink>
  </w:p>
  <w:p>
    <w:pPr>
      <w:spacing w:after="0" w:before="40"/>
      <w:jc w:val="center"/>
    </w:pPr>
    <w:hyperlink w:history="1" r:id="rIdupilyeozxc7f_ka9dde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asmqfpxfxaoup-gkgp7w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l92gmtk0q_vi14whwgtx" Type="http://schemas.openxmlformats.org/officeDocument/2006/relationships/hyperlink" Target="https://dalil.kg/document/218464" TargetMode="External"/><Relationship Id="rIdupilyeozxc7f_ka9ddea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2026-10-01T09:12:36.661Z</dcterms:created>
  <dcterms:modified xsi:type="dcterms:W3CDTF">2026-10-01T09:12:36.661Z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