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120"/>
        <w:jc w:val="both"/>
      </w:pPr>
      <w:r>
        <w:rPr>
          <w:rFonts w:ascii="Arial" w:cs="Arial" w:eastAsia="Arial" w:hAnsi="Arial"/>
          <w:sz w:val="24"/>
          <w:szCs w:val="24"/>
        </w:rPr>
        <w:t xml:space="preserve">от 4 мая 2021 года № 115-р</w:t>
      </w:r>
    </w:p>
    <w:p>
      <w:pPr>
        <w:spacing w:after="120"/>
        <w:ind w:firstLine="567"/>
        <w:jc w:val="both"/>
      </w:pPr>
      <w:r>
        <w:rPr>
          <w:rFonts w:ascii="Arial" w:cs="Arial" w:eastAsia="Arial" w:hAnsi="Arial"/>
          <w:sz w:val="24"/>
          <w:szCs w:val="24"/>
        </w:rPr>
        <w:t xml:space="preserve">В целях обеспечения доступа населения Кыргызской Республики к вакцинам от коронавирусной инфекции в рамках механизма </w:t>
      </w:r>
      <w:r>
        <w:rPr>
          <w:rFonts w:ascii="Arial" w:cs="Arial" w:eastAsia="Arial" w:hAnsi="Arial"/>
          <w:sz w:val="24"/>
          <w:szCs w:val="24"/>
        </w:rPr>
        <w:t xml:space="preserve">CO</w:t>
      </w:r>
      <w:r>
        <w:rPr>
          <w:rFonts w:ascii="Arial" w:cs="Arial" w:eastAsia="Arial" w:hAnsi="Arial"/>
          <w:sz w:val="24"/>
          <w:szCs w:val="24"/>
        </w:rPr>
        <w:t xml:space="preserve">VAX (предлагаемым Глобальным Альянсом по вакцинации и иммунизации), с учетом заключения межведомственной комиссии, созданной поручением Премьер-министра Кыргызской Республики от 10 февраля 2021 года № 20-03, о возможности и целесообразности заключения Соглашения о защите от ответственности в рамках механизма </w:t>
      </w:r>
      <w:r>
        <w:rPr>
          <w:rFonts w:ascii="Arial" w:cs="Arial" w:eastAsia="Arial" w:hAnsi="Arial"/>
          <w:sz w:val="24"/>
          <w:szCs w:val="24"/>
        </w:rPr>
        <w:t xml:space="preserve">CO</w:t>
      </w:r>
      <w:r>
        <w:rPr>
          <w:rFonts w:ascii="Arial" w:cs="Arial" w:eastAsia="Arial" w:hAnsi="Arial"/>
          <w:sz w:val="24"/>
          <w:szCs w:val="24"/>
        </w:rPr>
        <w:t xml:space="preserve">VAX, в соответствии со статьями </w:t>
      </w:r>
      <w:hyperlink w:history="1" r:id="rIdqwdiksn3plepkrqkeqlcb">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ynz9v5bnku0wqntso_qi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567"/>
        <w:jc w:val="both"/>
      </w:pPr>
      <w:r>
        <w:rPr>
          <w:rFonts w:ascii="Arial" w:cs="Arial" w:eastAsia="Arial" w:hAnsi="Arial"/>
          <w:sz w:val="24"/>
          <w:szCs w:val="24"/>
        </w:rPr>
        <w:t xml:space="preserve">1. Уполномочить министра здравоохранения и социального развития Кыргызской Республики на заключение Соглашения о защите от ответственности в рамках механизма COVAX.</w:t>
      </w:r>
    </w:p>
    <w:p>
      <w:pPr>
        <w:spacing w:after="120"/>
        <w:ind w:firstLine="567"/>
        <w:jc w:val="both"/>
      </w:pPr>
      <w:r>
        <w:rPr>
          <w:rFonts w:ascii="Arial" w:cs="Arial" w:eastAsia="Arial" w:hAnsi="Arial"/>
          <w:sz w:val="24"/>
          <w:szCs w:val="24"/>
        </w:rPr>
        <w:t xml:space="preserve">2. Одобрить прилагаемый (неофициальный перевод) </w:t>
      </w:r>
      <w:hyperlink w:history="1" r:id="rIdxc4_a7dphrzssjvwriq9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защите от ответственности в рамках механизма COVAX, с правом внесения изменений и дополнений непринципиального характера.</w:t>
      </w:r>
    </w:p>
    <w:p>
      <w:pPr>
        <w:tabs>
          <w:tab w:val="right" w:pos="10178"/>
        </w:tabs>
        <w:spacing w:after="120"/>
      </w:pPr>
      <w:r>
        <w:rPr>
          <w:rFonts w:ascii="Arial" w:cs="Arial" w:eastAsia="Arial" w:hAnsi="Arial"/>
          <w:b/>
          <w:bCs/>
          <w:sz w:val="28"/>
          <w:szCs w:val="28"/>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Дата </w:t>
      </w:r>
      <w:r>
        <w:rPr>
          <w:rFonts w:ascii="Arial" w:cs="Arial" w:eastAsia="Arial" w:hAnsi="Arial"/>
          <w:sz w:val="24"/>
          <w:szCs w:val="24"/>
        </w:rPr>
        <w:t xml:space="preserve">______________________</w:t>
      </w:r>
      <w:r>
        <w:rPr>
          <w:rFonts w:ascii="Arial" w:cs="Arial" w:eastAsia="Arial" w:hAnsi="Arial"/>
          <w:sz w:val="24"/>
          <w:szCs w:val="24"/>
        </w:rPr>
        <w:t xml:space="preserve">202[•]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[УЧАСТНИК МЕХАНИЗМА </w:t>
      </w:r>
      <w:r>
        <w:rPr>
          <w:rFonts w:ascii="Arial" w:cs="Arial" w:eastAsia="Arial" w:hAnsi="Arial"/>
          <w:b/>
          <w:bCs/>
          <w:sz w:val="24"/>
          <w:szCs w:val="24"/>
        </w:rPr>
        <w:t xml:space="preserve">CO</w:t>
      </w:r>
      <w:r>
        <w:rPr>
          <w:rFonts w:ascii="Arial" w:cs="Arial" w:eastAsia="Arial" w:hAnsi="Arial"/>
          <w:b/>
          <w:bCs/>
          <w:sz w:val="24"/>
          <w:szCs w:val="24"/>
        </w:rPr>
        <w:t xml:space="preserve">VAX]</w:t>
      </w:r>
    </w:p>
    <w:p>
      <w:pPr>
        <w:spacing w:after="60" w:before="200"/>
        <w:jc w:val="center"/>
      </w:pPr>
      <w:r>
        <w:rPr>
          <w:rFonts w:ascii="Arial" w:cs="Arial" w:eastAsia="Arial" w:hAnsi="Arial"/>
          <w:b/>
          <w:bCs/>
          <w:sz w:val="32"/>
          <w:szCs w:val="32"/>
        </w:rPr>
        <w:t xml:space="preserve">и</w:t>
      </w:r>
    </w:p>
    <w:p>
      <w:pPr>
        <w:spacing w:after="60" w:before="200"/>
        <w:jc w:val="center"/>
      </w:pPr>
      <w:r>
        <w:rPr>
          <w:rFonts w:ascii="Arial" w:cs="Arial" w:eastAsia="Arial" w:hAnsi="Arial"/>
          <w:b/>
          <w:bCs/>
          <w:sz w:val="32"/>
          <w:szCs w:val="32"/>
        </w:rPr>
        <w:t xml:space="preserve">[ИЗГОТОВИТЕЛЬ]</w:t>
      </w:r>
    </w:p>
    <w:p>
      <w:pPr>
        <w:spacing w:after="400" w:before="400"/>
        <w:jc w:val="center"/>
      </w:pPr>
      <w:r>
        <w:rPr>
          <w:rFonts w:ascii="Arial" w:cs="Arial" w:eastAsia="Arial" w:hAnsi="Arial"/>
          <w:b/>
          <w:bCs/>
          <w:sz w:val="32"/>
          <w:szCs w:val="32"/>
        </w:rPr>
        <w:t xml:space="preserve">СОГЛАШЕНИЕ
 о защите от ответственности в рамках механизма COVAX</w:t>
      </w:r>
    </w:p>
    <w:p>
      <w:pPr>
        <w:spacing w:after="60"/>
        <w:ind w:firstLine="567"/>
        <w:jc w:val="both"/>
      </w:pPr>
      <w:r>
        <w:rPr>
          <w:rFonts w:ascii="Arial" w:cs="Arial" w:eastAsia="Arial" w:hAnsi="Arial"/>
          <w:sz w:val="24"/>
          <w:szCs w:val="24"/>
        </w:rPr>
        <w:t xml:space="preserve">Настоящее Соглашение заключено [•] 202[•] между:</w:t>
      </w:r>
    </w:p>
    <w:p>
      <w:pPr>
        <w:spacing w:after="60"/>
        <w:ind w:firstLine="567"/>
        <w:jc w:val="both"/>
      </w:pPr>
      <w:r>
        <w:rPr>
          <w:rFonts w:ascii="Arial" w:cs="Arial" w:eastAsia="Arial" w:hAnsi="Arial"/>
          <w:sz w:val="24"/>
          <w:szCs w:val="24"/>
        </w:rPr>
        <w:t xml:space="preserve">(1) [•] ("Участником COVAX"); и</w:t>
      </w:r>
    </w:p>
    <w:p>
      <w:pPr>
        <w:spacing w:after="60"/>
        <w:ind w:firstLine="567"/>
        <w:jc w:val="both"/>
      </w:pPr>
      <w:r>
        <w:rPr>
          <w:rFonts w:ascii="Arial" w:cs="Arial" w:eastAsia="Arial" w:hAnsi="Arial"/>
          <w:sz w:val="24"/>
          <w:szCs w:val="24"/>
        </w:rPr>
        <w:t xml:space="preserve">(2) [ИЗГОТОВИТЕЛЕМ] - компанией, зарегистрированной в [•], регистрационный номер: [•], адрес регистрации: [•] ("Изготовитель").</w:t>
      </w:r>
    </w:p>
    <w:p>
      <w:pPr>
        <w:spacing w:after="60" w:before="200"/>
        <w:ind w:firstLine="567"/>
        <w:jc w:val="left"/>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(A) В своей роли организации, играющей лидирующую роль в работе вакцинного компонента механизма "Акселератор доступа к инструментам для борьбы с COV</w:t>
      </w:r>
      <w:r>
        <w:rPr>
          <w:rFonts w:ascii="Arial" w:cs="Arial" w:eastAsia="Arial" w:hAnsi="Arial"/>
          <w:sz w:val="24"/>
          <w:szCs w:val="24"/>
        </w:rPr>
        <w:t xml:space="preserve">I</w:t>
      </w:r>
      <w:r>
        <w:rPr>
          <w:rFonts w:ascii="Arial" w:cs="Arial" w:eastAsia="Arial" w:hAnsi="Arial"/>
          <w:sz w:val="24"/>
          <w:szCs w:val="24"/>
        </w:rPr>
        <w:t xml:space="preserve">D-19 (Акселератор ACT)", Альянс ГАВИ (ГАВИ) и Изготовитель заключили Предварительное соглашение о закупках (ПСЗ) вакцины от [•].</w:t>
      </w:r>
    </w:p>
    <w:p>
      <w:pPr>
        <w:spacing w:after="60"/>
        <w:ind w:firstLine="567"/>
        <w:jc w:val="both"/>
      </w:pPr>
      <w:r>
        <w:rPr>
          <w:rFonts w:ascii="Arial" w:cs="Arial" w:eastAsia="Arial" w:hAnsi="Arial"/>
          <w:sz w:val="24"/>
          <w:szCs w:val="24"/>
        </w:rPr>
        <w:t xml:space="preserve">(B) В соответствии с ПСЗ Участник COVAX, действуя через Уполномоченное агентство по закупкам, имеет возможность получить доступ к дозам вакцины, разработанной и произведенной Изготовителем, в соответствии с механизмом, описанным в ПСЗ.</w:t>
      </w:r>
    </w:p>
    <w:p>
      <w:pPr>
        <w:spacing w:after="60"/>
        <w:ind w:firstLine="567"/>
        <w:jc w:val="both"/>
      </w:pPr>
      <w:r>
        <w:rPr>
          <w:rFonts w:ascii="Arial" w:cs="Arial" w:eastAsia="Arial" w:hAnsi="Arial"/>
          <w:sz w:val="24"/>
          <w:szCs w:val="24"/>
        </w:rPr>
        <w:t xml:space="preserve">(C) Учитывая обстоятельства, в которых велась разработка вакцины, Участник COVAX согласился оградить Изготовителя от определенных рисков, в соответствии с условиями настоящего Соглашения.</w:t>
      </w:r>
    </w:p>
    <w:p>
      <w:pPr>
        <w:spacing w:after="60"/>
        <w:ind w:firstLine="567"/>
        <w:jc w:val="both"/>
      </w:pPr>
      <w:r>
        <w:rPr>
          <w:rFonts w:ascii="Arial" w:cs="Arial" w:eastAsia="Arial" w:hAnsi="Arial"/>
          <w:sz w:val="24"/>
          <w:szCs w:val="24"/>
        </w:rPr>
        <w:t xml:space="preserve">Стороны договорились о следующем:</w:t>
      </w:r>
    </w:p>
    <w:p>
      <w:pPr>
        <w:spacing w:after="60" w:before="200"/>
        <w:ind w:firstLine="567"/>
        <w:jc w:val="left"/>
      </w:pPr>
      <w:r>
        <w:rPr>
          <w:rFonts w:ascii="Arial" w:cs="Arial" w:eastAsia="Arial" w:hAnsi="Arial"/>
          <w:b/>
          <w:bCs/>
          <w:sz w:val="24"/>
          <w:szCs w:val="24"/>
        </w:rPr>
        <w:t xml:space="preserve">1. Толкование</w:t>
      </w:r>
    </w:p>
    <w:p>
      <w:pPr>
        <w:spacing w:after="60" w:before="200"/>
        <w:ind w:firstLine="567"/>
        <w:jc w:val="left"/>
      </w:pPr>
      <w:r>
        <w:rPr>
          <w:rFonts w:ascii="Arial" w:cs="Arial" w:eastAsia="Arial" w:hAnsi="Arial"/>
          <w:b/>
          <w:bCs/>
          <w:sz w:val="24"/>
          <w:szCs w:val="24"/>
        </w:rPr>
        <w:t xml:space="preserve">1.1. Определения</w:t>
      </w:r>
    </w:p>
    <w:p>
      <w:pPr>
        <w:spacing w:after="60"/>
        <w:ind w:firstLine="567"/>
        <w:jc w:val="both"/>
      </w:pPr>
      <w:r>
        <w:rPr>
          <w:rFonts w:ascii="Arial" w:cs="Arial" w:eastAsia="Arial" w:hAnsi="Arial"/>
          <w:sz w:val="24"/>
          <w:szCs w:val="24"/>
        </w:rPr>
        <w:t xml:space="preserve">В данном Соглашении, кроме случаев, когда иное следует из контекста:</w:t>
      </w:r>
    </w:p>
    <w:p>
      <w:pPr>
        <w:spacing w:after="60"/>
        <w:ind w:firstLine="567"/>
        <w:jc w:val="both"/>
      </w:pPr>
      <w:r>
        <w:rPr>
          <w:rFonts w:ascii="Arial" w:cs="Arial" w:eastAsia="Arial" w:hAnsi="Arial"/>
          <w:sz w:val="24"/>
          <w:szCs w:val="24"/>
        </w:rPr>
        <w:t xml:space="preserve">Термин Судебное решение означает имеющее обязательную силу постановление:</w:t>
      </w:r>
    </w:p>
    <w:p>
      <w:pPr>
        <w:spacing w:after="60"/>
        <w:ind w:firstLine="567"/>
        <w:jc w:val="both"/>
      </w:pPr>
      <w:r>
        <w:rPr>
          <w:rFonts w:ascii="Arial" w:cs="Arial" w:eastAsia="Arial" w:hAnsi="Arial"/>
          <w:sz w:val="24"/>
          <w:szCs w:val="24"/>
        </w:rPr>
        <w:t xml:space="preserve">(a) арбитражного или третейского суда; или</w:t>
      </w:r>
    </w:p>
    <w:p>
      <w:pPr>
        <w:spacing w:after="60"/>
        <w:ind w:firstLine="567"/>
        <w:jc w:val="both"/>
      </w:pPr>
      <w:r>
        <w:rPr>
          <w:rFonts w:ascii="Arial" w:cs="Arial" w:eastAsia="Arial" w:hAnsi="Arial"/>
          <w:sz w:val="24"/>
          <w:szCs w:val="24"/>
        </w:rPr>
        <w:t xml:space="preserve">(b) только в отношении Пункта 2.2.1 (i) - компетентного регулирующего органа, расположенного в ЕС, США или стране (странах) производства вакцин,</w:t>
      </w:r>
    </w:p>
    <w:p>
      <w:pPr>
        <w:spacing w:after="60"/>
        <w:ind w:firstLine="567"/>
        <w:jc w:val="both"/>
      </w:pPr>
      <w:r>
        <w:rPr>
          <w:rFonts w:ascii="Arial" w:cs="Arial" w:eastAsia="Arial" w:hAnsi="Arial"/>
          <w:sz w:val="24"/>
          <w:szCs w:val="24"/>
        </w:rPr>
        <w:t xml:space="preserve">в каждом случае компетентной юрисдикции;</w:t>
      </w:r>
    </w:p>
    <w:p>
      <w:pPr>
        <w:spacing w:after="60"/>
        <w:ind w:firstLine="567"/>
        <w:jc w:val="both"/>
      </w:pPr>
      <w:r>
        <w:rPr>
          <w:rFonts w:ascii="Arial" w:cs="Arial" w:eastAsia="Arial" w:hAnsi="Arial"/>
          <w:sz w:val="24"/>
          <w:szCs w:val="24"/>
        </w:rPr>
        <w:t xml:space="preserve">Термин ПСЗ имеет значение, указанное в пункте (А) Преамбулы;</w:t>
      </w:r>
    </w:p>
    <w:p>
      <w:pPr>
        <w:spacing w:after="60"/>
        <w:ind w:firstLine="567"/>
        <w:jc w:val="both"/>
      </w:pPr>
      <w:r>
        <w:rPr>
          <w:rFonts w:ascii="Arial" w:cs="Arial" w:eastAsia="Arial" w:hAnsi="Arial"/>
          <w:sz w:val="24"/>
          <w:szCs w:val="24"/>
        </w:rPr>
        <w:t xml:space="preserve">Термин Иск о возмещении убытков или ущерба (или Иск) означает любые требования, претензии, судебные жалобы или разбирательства (включая требования в связи с потерей имущества, прерыванием бизнеса или экономическими потерями), возникающие в связи со смертью или телесными повреждениями (включая физические, психические и эмоциональные травмы, болезни и недееспособность), если они вызваны:</w:t>
      </w:r>
    </w:p>
    <w:p>
      <w:pPr>
        <w:spacing w:after="60"/>
        <w:ind w:firstLine="567"/>
        <w:jc w:val="both"/>
      </w:pPr>
      <w:r>
        <w:rPr>
          <w:rFonts w:ascii="Arial" w:cs="Arial" w:eastAsia="Arial" w:hAnsi="Arial"/>
          <w:sz w:val="24"/>
          <w:szCs w:val="24"/>
        </w:rPr>
        <w:t xml:space="preserve">(a) использованием или введением вакцины; или</w:t>
      </w:r>
    </w:p>
    <w:p>
      <w:pPr>
        <w:spacing w:after="60"/>
        <w:ind w:firstLine="567"/>
        <w:jc w:val="both"/>
      </w:pPr>
      <w:r>
        <w:rPr>
          <w:rFonts w:ascii="Arial" w:cs="Arial" w:eastAsia="Arial" w:hAnsi="Arial"/>
          <w:sz w:val="24"/>
          <w:szCs w:val="24"/>
        </w:rPr>
        <w:t xml:space="preserve">(b) неэффективностью вакцины,</w:t>
      </w:r>
    </w:p>
    <w:p>
      <w:pPr>
        <w:spacing w:after="60"/>
        <w:ind w:firstLine="567"/>
        <w:jc w:val="both"/>
      </w:pPr>
      <w:r>
        <w:rPr>
          <w:rFonts w:ascii="Arial" w:cs="Arial" w:eastAsia="Arial" w:hAnsi="Arial"/>
          <w:sz w:val="24"/>
          <w:szCs w:val="24"/>
        </w:rPr>
        <w:t xml:space="preserve">независимо от того, предъявлены ли такие претензии, требования, судебные жалобы или разбирательства пациентом или какой-либо другой третьей стороной;</w:t>
      </w:r>
    </w:p>
    <w:p>
      <w:pPr>
        <w:spacing w:after="60"/>
        <w:ind w:firstLine="567"/>
        <w:jc w:val="both"/>
      </w:pPr>
      <w:r>
        <w:rPr>
          <w:rFonts w:ascii="Arial" w:cs="Arial" w:eastAsia="Arial" w:hAnsi="Arial"/>
          <w:sz w:val="24"/>
          <w:szCs w:val="24"/>
        </w:rPr>
        <w:t xml:space="preserve">Термин Конфиденциальная информация имеет значение, данное в Пункте 3.1.1;</w:t>
      </w:r>
    </w:p>
    <w:p>
      <w:pPr>
        <w:spacing w:after="60"/>
        <w:ind w:firstLine="567"/>
        <w:jc w:val="both"/>
      </w:pPr>
      <w:r>
        <w:rPr>
          <w:rFonts w:ascii="Arial" w:cs="Arial" w:eastAsia="Arial" w:hAnsi="Arial"/>
          <w:sz w:val="24"/>
          <w:szCs w:val="24"/>
        </w:rPr>
        <w:t xml:space="preserve">Термин Контроль означает право (прямое или косвенное через одного или нескольких других лиц) управлять или поручать управление делами частного лица, будь то посредством владения акциями, обладания правом голоса, осуществления договорных полномочий или иным образом. Термин Контролируемый будет толковаться соответствующим образом;</w:t>
      </w:r>
    </w:p>
    <w:p>
      <w:pPr>
        <w:spacing w:after="60"/>
        <w:ind w:firstLine="567"/>
        <w:jc w:val="both"/>
      </w:pPr>
      <w:r>
        <w:rPr>
          <w:rFonts w:ascii="Arial" w:cs="Arial" w:eastAsia="Arial" w:hAnsi="Arial"/>
          <w:sz w:val="24"/>
          <w:szCs w:val="24"/>
        </w:rPr>
        <w:t xml:space="preserve">Термин Уполномоченное агентство по закупкам означает любое агентство по закупкам, уполномоченное ГАВИ и действующее от имени ГАВИ при закупке Вакцины в рамках ПСЗ;</w:t>
      </w:r>
    </w:p>
    <w:p>
      <w:pPr>
        <w:spacing w:after="60"/>
        <w:ind w:firstLine="567"/>
        <w:jc w:val="both"/>
      </w:pPr>
      <w:r>
        <w:rPr>
          <w:rFonts w:ascii="Arial" w:cs="Arial" w:eastAsia="Arial" w:hAnsi="Arial"/>
          <w:sz w:val="24"/>
          <w:szCs w:val="24"/>
        </w:rPr>
        <w:t xml:space="preserve">Термин Надлежащая производственная практика означает текущую надлежащую практику производства, распространения и хранения, изложенную в национальных законах и правилах, применимых в стране, где Вакцины были изготовлены, и в той мере, в какой они не соответствуют надлежащей производственной практике, установленной либо (i) в Кодексе федеральных правил США (Стандарты США), либо (ii) в Директиве ЕС 2001/83/ЕС (с поправками, внесенными Директивой 2004/27/ЕС), Директиве 2017/1572, Директиве 2003/94/ЕС и в EudraLex - Том 4 Правил, регулирующих лекарственные препараты в ЕС (Стандарты ЕС), также применяются стандарты США или стандарты ЕС, как определено в ПСЗ;</w:t>
      </w:r>
    </w:p>
    <w:p>
      <w:pPr>
        <w:spacing w:after="60"/>
        <w:ind w:firstLine="567"/>
        <w:jc w:val="both"/>
      </w:pPr>
      <w:r>
        <w:rPr>
          <w:rFonts w:ascii="Arial" w:cs="Arial" w:eastAsia="Arial" w:hAnsi="Arial"/>
          <w:sz w:val="24"/>
          <w:szCs w:val="24"/>
        </w:rPr>
        <w:t xml:space="preserve">Термин Группа относится к любому лицу или лицам, которые время от времени Контролируют, Контролируются или находятся под общим Контролем с этим лицом;</w:t>
      </w:r>
    </w:p>
    <w:p>
      <w:pPr>
        <w:spacing w:after="60"/>
        <w:ind w:firstLine="567"/>
        <w:jc w:val="both"/>
      </w:pPr>
      <w:r>
        <w:rPr>
          <w:rFonts w:ascii="Arial" w:cs="Arial" w:eastAsia="Arial" w:hAnsi="Arial"/>
          <w:sz w:val="24"/>
          <w:szCs w:val="24"/>
        </w:rPr>
        <w:t xml:space="preserve">Термин Требование о возмещении ущерба означает требование, по которому Участник COVAX обязан возместить убытки Ограждаемым лицам в соответствии с Пунктом 2.1;</w:t>
      </w:r>
    </w:p>
    <w:p>
      <w:pPr>
        <w:spacing w:after="60"/>
        <w:ind w:firstLine="567"/>
        <w:jc w:val="both"/>
      </w:pPr>
      <w:r>
        <w:rPr>
          <w:rFonts w:ascii="Arial" w:cs="Arial" w:eastAsia="Arial" w:hAnsi="Arial"/>
          <w:sz w:val="24"/>
          <w:szCs w:val="24"/>
        </w:rPr>
        <w:t xml:space="preserve">Термин Ограждаемое лицо означает Изготовителя и любого другого члена Группы изготовителя, а также их соответствующих должностных лиц, директоров, сотрудников и представителей;</w:t>
      </w:r>
    </w:p>
    <w:p>
      <w:pPr>
        <w:spacing w:after="60"/>
        <w:ind w:firstLine="567"/>
        <w:jc w:val="both"/>
      </w:pPr>
      <w:r>
        <w:rPr>
          <w:rFonts w:ascii="Arial" w:cs="Arial" w:eastAsia="Arial" w:hAnsi="Arial"/>
          <w:sz w:val="24"/>
          <w:szCs w:val="24"/>
        </w:rPr>
        <w:t xml:space="preserve">Термин Убытки означает любые вознаграждения, издержки, претензии, ущерб, требования и расходы, включая разумные затраты и вознаграждения за юридические услуги, судебные решения, штрафы, пени или расчеты, но исключая любую упущенную выгоду, потерю деловой репутации, потерю стоимости акций и/или упущенную деловую возможность соответствующего Ограждаемого лица;</w:t>
      </w:r>
    </w:p>
    <w:p>
      <w:pPr>
        <w:spacing w:after="60"/>
        <w:ind w:firstLine="567"/>
        <w:jc w:val="both"/>
      </w:pPr>
      <w:r>
        <w:rPr>
          <w:rFonts w:ascii="Arial" w:cs="Arial" w:eastAsia="Arial" w:hAnsi="Arial"/>
          <w:sz w:val="24"/>
          <w:szCs w:val="24"/>
        </w:rPr>
        <w:t xml:space="preserve">Термин Вакцина или Вакцины означает любую [вставить название соответствующей вакцины], которая была поставлена Участнику COVAX, распределена Участнику COVAX ГАВИ (в том числе на условиях механизма обмена COVAX) в соответствии с условиями ПСЗ; и</w:t>
      </w:r>
    </w:p>
    <w:p>
      <w:pPr>
        <w:spacing w:after="60"/>
        <w:ind w:firstLine="567"/>
        <w:jc w:val="both"/>
      </w:pPr>
      <w:r>
        <w:rPr>
          <w:rFonts w:ascii="Arial" w:cs="Arial" w:eastAsia="Arial" w:hAnsi="Arial"/>
          <w:sz w:val="24"/>
          <w:szCs w:val="24"/>
        </w:rPr>
        <w:t xml:space="preserve">Термин Умышленное неправомерное поведение означает противоправное действие или бездействие стороны, если на момент такого действия или бездействия эта сторона знала, что в результате ее действий или бездействия могут возникнуть убытки или ущерб, и такое действие или бездействие было совершено с намерением причинить такие убытки или ущерб.</w:t>
      </w:r>
    </w:p>
    <w:p>
      <w:pPr>
        <w:spacing w:after="60" w:before="200"/>
        <w:ind w:firstLine="567"/>
        <w:jc w:val="left"/>
      </w:pPr>
      <w:r>
        <w:rPr>
          <w:rFonts w:ascii="Arial" w:cs="Arial" w:eastAsia="Arial" w:hAnsi="Arial"/>
          <w:b/>
          <w:bCs/>
          <w:sz w:val="24"/>
          <w:szCs w:val="24"/>
        </w:rPr>
        <w:t xml:space="preserve">1.2. Толкование</w:t>
      </w:r>
    </w:p>
    <w:p>
      <w:pPr>
        <w:spacing w:after="60"/>
        <w:ind w:firstLine="567"/>
        <w:jc w:val="both"/>
      </w:pPr>
      <w:r>
        <w:rPr>
          <w:rFonts w:ascii="Arial" w:cs="Arial" w:eastAsia="Arial" w:hAnsi="Arial"/>
          <w:sz w:val="24"/>
          <w:szCs w:val="24"/>
        </w:rPr>
        <w:t xml:space="preserve">1.2.1. Ссылки на Стороны означают Участника COVAX, Изготовителя и их соответствующих правопреемников и разрешенных цессионариев.</w:t>
      </w:r>
    </w:p>
    <w:p>
      <w:pPr>
        <w:spacing w:after="60"/>
        <w:ind w:firstLine="567"/>
        <w:jc w:val="both"/>
      </w:pPr>
      <w:r>
        <w:rPr>
          <w:rFonts w:ascii="Arial" w:cs="Arial" w:eastAsia="Arial" w:hAnsi="Arial"/>
          <w:sz w:val="24"/>
          <w:szCs w:val="24"/>
        </w:rPr>
        <w:t xml:space="preserve">1.2.2. Ссылки на законодательный акт или законодательное положение включают в себя:</w:t>
      </w:r>
    </w:p>
    <w:p>
      <w:pPr>
        <w:spacing w:after="60"/>
        <w:ind w:firstLine="567"/>
        <w:jc w:val="both"/>
      </w:pPr>
      <w:r>
        <w:rPr>
          <w:rFonts w:ascii="Arial" w:cs="Arial" w:eastAsia="Arial" w:hAnsi="Arial"/>
          <w:sz w:val="24"/>
          <w:szCs w:val="24"/>
        </w:rPr>
        <w:t xml:space="preserve">(i) этот законодательный акт или положение, которые могут быть изменены, повторно введены в действие или введены со всеми изменениями и дополнениями как до, так и после даты заключения настоящего Соглашения; и</w:t>
      </w:r>
    </w:p>
    <w:p>
      <w:pPr>
        <w:spacing w:after="60"/>
        <w:ind w:firstLine="567"/>
        <w:jc w:val="both"/>
      </w:pPr>
      <w:r>
        <w:rPr>
          <w:rFonts w:ascii="Arial" w:cs="Arial" w:eastAsia="Arial" w:hAnsi="Arial"/>
          <w:sz w:val="24"/>
          <w:szCs w:val="24"/>
        </w:rPr>
        <w:t xml:space="preserve">(ii) любые подзаконные акты, принимаемые время от времени в соответствии с этим законодательным актом или положением.</w:t>
      </w:r>
    </w:p>
    <w:p>
      <w:pPr>
        <w:spacing w:after="60" w:before="200"/>
        <w:ind w:firstLine="567"/>
        <w:jc w:val="left"/>
      </w:pPr>
      <w:r>
        <w:rPr>
          <w:rFonts w:ascii="Arial" w:cs="Arial" w:eastAsia="Arial" w:hAnsi="Arial"/>
          <w:b/>
          <w:bCs/>
          <w:sz w:val="24"/>
          <w:szCs w:val="24"/>
        </w:rPr>
        <w:t xml:space="preserve">2. Возмещение ущерба</w:t>
      </w:r>
    </w:p>
    <w:p>
      <w:pPr>
        <w:spacing w:after="60" w:before="200"/>
        <w:ind w:firstLine="567"/>
        <w:jc w:val="left"/>
      </w:pPr>
      <w:r>
        <w:rPr>
          <w:rFonts w:ascii="Arial" w:cs="Arial" w:eastAsia="Arial" w:hAnsi="Arial"/>
          <w:b/>
          <w:bCs/>
          <w:sz w:val="24"/>
          <w:szCs w:val="24"/>
        </w:rPr>
        <w:t xml:space="preserve">2.1. Ограждение от ответственности</w:t>
      </w:r>
    </w:p>
    <w:p>
      <w:pPr>
        <w:spacing w:after="60"/>
        <w:ind w:firstLine="567"/>
        <w:jc w:val="both"/>
      </w:pPr>
      <w:r>
        <w:rPr>
          <w:rFonts w:ascii="Arial" w:cs="Arial" w:eastAsia="Arial" w:hAnsi="Arial"/>
          <w:sz w:val="24"/>
          <w:szCs w:val="24"/>
        </w:rPr>
        <w:t xml:space="preserve">С учетом Пункта 2.2, Участник COVAX должен оградить каждое Ограждаемое лицо от всех Убытков и возместить Убытки, понесенные этим Ограждаемым лицом в результате или в связи с любым Требованием. Такое возмещение будет доступно независимо от того, где вводится Вакцина или где подается Требование.</w:t>
      </w:r>
    </w:p>
    <w:p>
      <w:pPr>
        <w:spacing w:after="60" w:before="200"/>
        <w:ind w:firstLine="567"/>
        <w:jc w:val="left"/>
      </w:pPr>
      <w:r>
        <w:rPr>
          <w:rFonts w:ascii="Arial" w:cs="Arial" w:eastAsia="Arial" w:hAnsi="Arial"/>
          <w:b/>
          <w:bCs/>
          <w:sz w:val="24"/>
          <w:szCs w:val="24"/>
        </w:rPr>
        <w:t xml:space="preserve">2.2. Исключения</w:t>
      </w:r>
    </w:p>
    <w:p>
      <w:pPr>
        <w:spacing w:after="60"/>
        <w:ind w:firstLine="567"/>
        <w:jc w:val="both"/>
      </w:pPr>
      <w:r>
        <w:rPr>
          <w:rFonts w:ascii="Arial" w:cs="Arial" w:eastAsia="Arial" w:hAnsi="Arial"/>
          <w:sz w:val="24"/>
          <w:szCs w:val="24"/>
        </w:rPr>
        <w:t xml:space="preserve">2.2.1. Пункт 2.1 не применяется к Требованиям, которые возникают в результате или в связи со следующим, и в каждом случае в той мере, в какой это непосредственно вызвано следующим:</w:t>
      </w:r>
    </w:p>
    <w:p>
      <w:pPr>
        <w:spacing w:after="60"/>
        <w:ind w:firstLine="567"/>
        <w:jc w:val="both"/>
      </w:pPr>
      <w:r>
        <w:rPr>
          <w:rFonts w:ascii="Arial" w:cs="Arial" w:eastAsia="Arial" w:hAnsi="Arial"/>
          <w:sz w:val="24"/>
          <w:szCs w:val="24"/>
        </w:rPr>
        <w:t xml:space="preserve">(i) подтвержденное судебным решением существенное нарушение Надлежащей производственной практики (применяемой во время производства) до сертификации выпуска серии вакцины на экспорт, что приводит к Дефекту качества вакцины; или</w:t>
      </w:r>
    </w:p>
    <w:p>
      <w:pPr>
        <w:spacing w:after="60"/>
        <w:ind w:firstLine="567"/>
        <w:jc w:val="both"/>
      </w:pPr>
      <w:r>
        <w:rPr>
          <w:rFonts w:ascii="Arial" w:cs="Arial" w:eastAsia="Arial" w:hAnsi="Arial"/>
          <w:sz w:val="24"/>
          <w:szCs w:val="24"/>
        </w:rPr>
        <w:t xml:space="preserve">(ii) подтвержденное судебным решением Умышленное неправомерное поведение Ограждаемого лица в связи с разработкой, изготовлением, использованием или введением Вакцины.</w:t>
      </w:r>
    </w:p>
    <w:p>
      <w:pPr>
        <w:spacing w:after="60"/>
        <w:ind w:firstLine="567"/>
        <w:jc w:val="both"/>
      </w:pPr>
      <w:r>
        <w:rPr>
          <w:rFonts w:ascii="Arial" w:cs="Arial" w:eastAsia="Arial" w:hAnsi="Arial"/>
          <w:sz w:val="24"/>
          <w:szCs w:val="24"/>
        </w:rPr>
        <w:t xml:space="preserve">2.2.2. Для целей Пункта 2.2.1 (i) термин Дефект качества означает дефект качества продукта, приводящий к неблагоприятному воздействию на здоровье человека, при котором вакцина больше не обладает характеристиками качества, позволяющими считать ее пригодной для предполагаемого медицинского применения, в соответствии со спецификациями качества продукта и требованиями регистрационного удостоверения или условиями процедуры предварительной квалификации ВОЗ, с особым учетом основных принципов, описанных в руководстве ВОЗ по надлежащей производственной практике для фармацевтической продукции.</w:t>
      </w:r>
    </w:p>
    <w:p>
      <w:pPr>
        <w:spacing w:after="60" w:before="200"/>
        <w:ind w:firstLine="567"/>
        <w:jc w:val="left"/>
      </w:pPr>
      <w:r>
        <w:rPr>
          <w:rFonts w:ascii="Arial" w:cs="Arial" w:eastAsia="Arial" w:hAnsi="Arial"/>
          <w:b/>
          <w:bCs/>
          <w:sz w:val="24"/>
          <w:szCs w:val="24"/>
        </w:rPr>
        <w:t xml:space="preserve">2.3. Выполнение Требований о возмещении ущерба</w:t>
      </w:r>
    </w:p>
    <w:p>
      <w:pPr>
        <w:spacing w:after="60"/>
        <w:ind w:firstLine="567"/>
        <w:jc w:val="both"/>
      </w:pPr>
      <w:r>
        <w:rPr>
          <w:rFonts w:ascii="Arial" w:cs="Arial" w:eastAsia="Arial" w:hAnsi="Arial"/>
          <w:sz w:val="24"/>
          <w:szCs w:val="24"/>
        </w:rPr>
        <w:t xml:space="preserve">2.3.1. Ограждаемое лицо должно уведомить Участника COVAX в кратчайшие практически осуществимые сроки в письменной форме о любом Требовании о возмещении ущерба, о котором ему известно, с указанием характера и основания Требования о возмещении ущерба и максимальной предполагаемой суммы ущерба, насколько это известно (оценка может обновляться время от времени), при условии, что непредоставление такого уведомления не освобождает Участника COVAX от его обязательств по возмещению в соответствии с настоящим Пунктом 2, за исключением случаев, когда такое непредставление наносит ущерб защите по такому Требованию о возмещении ущерба.</w:t>
      </w:r>
    </w:p>
    <w:p>
      <w:pPr>
        <w:spacing w:after="60"/>
        <w:ind w:firstLine="567"/>
        <w:jc w:val="both"/>
      </w:pPr>
      <w:r>
        <w:rPr>
          <w:rFonts w:ascii="Arial" w:cs="Arial" w:eastAsia="Arial" w:hAnsi="Arial"/>
          <w:sz w:val="24"/>
          <w:szCs w:val="24"/>
        </w:rPr>
        <w:t xml:space="preserve">2.3.2. После такого уведомления Участник COVAX должен незамедлительно взять на себя управление защитой по такому Требованию о возмещении ущерба при условии, однако, что этот Участник COVAX должен в разумной мере учитывать интересы Ограждаемого лица, предоставить обоснованное предварительное письменное уведомление о любом предлагаемом компромиссе или урегулировании любого Требования о возмещении ущерба, и ни в коем случае Участник COVAX не может компрометировать или урегулировать любое Требование о возмещении ущерба без предварительного письменного согласия Ограждаемого лица, причем необоснованный отказ в таком согласии не допускается.</w:t>
      </w:r>
    </w:p>
    <w:p>
      <w:pPr>
        <w:spacing w:after="60"/>
        <w:ind w:firstLine="567"/>
        <w:jc w:val="both"/>
      </w:pPr>
      <w:r>
        <w:rPr>
          <w:rFonts w:ascii="Arial" w:cs="Arial" w:eastAsia="Arial" w:hAnsi="Arial"/>
          <w:sz w:val="24"/>
          <w:szCs w:val="24"/>
        </w:rPr>
        <w:t xml:space="preserve">2.3.3. Ограждаемое лицо должно разумно сотрудничать с Участником COVAX в связи с защитой по любому Требованию о возмещении ущерба, включая предоставление всей разумной помощи в поддержку любой такой защиты или действий, и не должно делать никаких допущений или предпринимать какие-либо другие действия, которые могут нанести ущерб проведению разбирательства, без явного предварительного письменного согласия Участника COVAX (необоснованный отказ в таком согласии не допускается), за исключением того, что Ограждаемое лицо не должно консультироваться с Участником COVAX или получать согласие от него, прежде чем предпринимать шаги по соблюдению действующих законов и/или правил в любой юрисдикции, включая требования, установленные регулирующим органом. Участник COVAX обязуется: (i) информировать Ограждаемое лицо обо всех существенных изменениях в отношении Требования о возмещении ущерба; и (ii) консультироваться с соответствующим Ограждаемым лицом о ведении судебного разбирательства или переговоров.</w:t>
      </w:r>
    </w:p>
    <w:p>
      <w:pPr>
        <w:spacing w:after="60"/>
        <w:ind w:firstLine="567"/>
        <w:jc w:val="both"/>
      </w:pPr>
      <w:r>
        <w:rPr>
          <w:rFonts w:ascii="Arial" w:cs="Arial" w:eastAsia="Arial" w:hAnsi="Arial"/>
          <w:sz w:val="24"/>
          <w:szCs w:val="24"/>
        </w:rPr>
        <w:t xml:space="preserve">2.3.4. Каждое Ограждаемое лицо имеет право нанять своего адвоката для консультаций в связи с любым Требованием о возмещении ущерба и оказания помощи в сотрудничестве при защите Участника COVAX.</w:t>
      </w:r>
    </w:p>
    <w:p>
      <w:pPr>
        <w:spacing w:after="60"/>
        <w:ind w:firstLine="567"/>
        <w:jc w:val="both"/>
      </w:pPr>
      <w:r>
        <w:rPr>
          <w:rFonts w:ascii="Arial" w:cs="Arial" w:eastAsia="Arial" w:hAnsi="Arial"/>
          <w:sz w:val="24"/>
          <w:szCs w:val="24"/>
        </w:rPr>
        <w:t xml:space="preserve">2.3.5. Независимо от вышеизложенного Ограждаемое лицо может взять на себя контроль над защитой по Требованию о возмещении ущерба:</w:t>
      </w:r>
    </w:p>
    <w:p>
      <w:pPr>
        <w:spacing w:after="60"/>
        <w:ind w:firstLine="567"/>
        <w:jc w:val="both"/>
      </w:pPr>
      <w:r>
        <w:rPr>
          <w:rFonts w:ascii="Arial" w:cs="Arial" w:eastAsia="Arial" w:hAnsi="Arial"/>
          <w:sz w:val="24"/>
          <w:szCs w:val="24"/>
        </w:rPr>
        <w:t xml:space="preserve">(i) в любое время в течение тридцати (30) дней с момента уведомления Ограждаемого лица, направленного Участнику COVAX, о Требовании о возмещении ущерба; или</w:t>
      </w:r>
    </w:p>
    <w:p>
      <w:pPr>
        <w:spacing w:after="60"/>
        <w:ind w:firstLine="567"/>
        <w:jc w:val="both"/>
      </w:pPr>
      <w:r>
        <w:rPr>
          <w:rFonts w:ascii="Arial" w:cs="Arial" w:eastAsia="Arial" w:hAnsi="Arial"/>
          <w:sz w:val="24"/>
          <w:szCs w:val="24"/>
        </w:rPr>
        <w:t xml:space="preserve">(ii) в любое время по собственному усмотрению Ограждаемого лица, если (а) Участник COVAX не может вовремя взять на себя защиту или разумно осуществлять защиту по Требованию о возмещении ущерба к удовлетворению Ограждаемого лица; или (б) Действуя разумно, Ограждаемое лицо добросовестно полагает, что между Ограждаемым лицом и Участником COVAX в отношении Требования о возмещении ущерба существуют обоснованные разногласия.</w:t>
      </w:r>
    </w:p>
    <w:p>
      <w:pPr>
        <w:spacing w:after="60"/>
        <w:ind w:firstLine="567"/>
        <w:jc w:val="both"/>
      </w:pPr>
      <w:r>
        <w:rPr>
          <w:rFonts w:ascii="Arial" w:cs="Arial" w:eastAsia="Arial" w:hAnsi="Arial"/>
          <w:sz w:val="24"/>
          <w:szCs w:val="24"/>
        </w:rPr>
        <w:t xml:space="preserve">2.3.6. После письменного уведомления о таком выборе Ограждаемое лицо имеет право взять на себя управление такой защитой, а Участник COVAX должен оплатить (по мере возникновения и по требованию) все Убытки, понесенные Ограждаемым лицом в связи с Требованием о возмещении ущерба. В отношении любых таких требований Ограждаемое лицо (i) должно информировать Участника COVAX обо всех существенных событиях, связанных с Требованием о возмещении ущерба; и (ii) регулярно консультироваться с Участником COVAX и его законными представителями, в том числе заранее, в отношении всех существенных и/или стратегических решений. В любом случае Участник COVAX должен разумно сотрудничать с Ограждаемым лицом по вопросам защиты, урегулирования или компромисса в отношении Требования о возмещении ущерба. Ни при каких обстоятельствах Ограждаемое лицо не может идти на компромисс или урегулировать любое Требование о возмещении ущерба без предварительного письменного согласия Участника COVAX, причем необоснованный отказ в таком согласии не допускается.</w:t>
      </w:r>
    </w:p>
    <w:p>
      <w:pPr>
        <w:spacing w:after="60" w:before="200"/>
        <w:ind w:firstLine="567"/>
        <w:jc w:val="left"/>
      </w:pPr>
      <w:r>
        <w:rPr>
          <w:rFonts w:ascii="Arial" w:cs="Arial" w:eastAsia="Arial" w:hAnsi="Arial"/>
          <w:b/>
          <w:bCs/>
          <w:sz w:val="24"/>
          <w:szCs w:val="24"/>
        </w:rPr>
        <w:t xml:space="preserve">3. Конфиденциальность</w:t>
      </w:r>
    </w:p>
    <w:p>
      <w:pPr>
        <w:spacing w:after="60"/>
        <w:ind w:firstLine="567"/>
        <w:jc w:val="both"/>
      </w:pPr>
      <w:r>
        <w:rPr>
          <w:rFonts w:ascii="Arial" w:cs="Arial" w:eastAsia="Arial" w:hAnsi="Arial"/>
          <w:sz w:val="24"/>
          <w:szCs w:val="24"/>
        </w:rPr>
        <w:t xml:space="preserve">3.1.1. Каждая Сторона должна считать строго конфиденциальной, не раскрывать и не использовать информацию, полученную в связи с настоящим Соглашением (или любым другим соглашением, заключенным в соответствии с настоящим Соглашением), в дополнение к условиям настоящего Соглашения (совместно именуемым Конфиденциальная информация), за исключением случаев, когда раскрывающая Сторона дала предварительное письменное согласие на раскрытие или использование информации.</w:t>
      </w:r>
    </w:p>
    <w:p>
      <w:pPr>
        <w:spacing w:after="60"/>
        <w:ind w:firstLine="567"/>
        <w:jc w:val="both"/>
      </w:pPr>
      <w:r>
        <w:rPr>
          <w:rFonts w:ascii="Arial" w:cs="Arial" w:eastAsia="Arial" w:hAnsi="Arial"/>
          <w:sz w:val="24"/>
          <w:szCs w:val="24"/>
        </w:rPr>
        <w:t xml:space="preserve">3.1.2. Положения Пункта 3.1.1 выше не запрещают раскрытие или использование Конфиденциальной информации в следующих случаях и пределах:</w:t>
      </w:r>
    </w:p>
    <w:p>
      <w:pPr>
        <w:spacing w:after="60"/>
        <w:ind w:firstLine="567"/>
        <w:jc w:val="both"/>
      </w:pPr>
      <w:r>
        <w:rPr>
          <w:rFonts w:ascii="Arial" w:cs="Arial" w:eastAsia="Arial" w:hAnsi="Arial"/>
          <w:sz w:val="24"/>
          <w:szCs w:val="24"/>
        </w:rPr>
        <w:t xml:space="preserve">(i) изготовитель и/или члены Группы изготовителя используют информацию, предоставленную Участником COVAX в отношении Требований о возмещении ущерба, для своих собственных деловых целей;</w:t>
      </w:r>
    </w:p>
    <w:p>
      <w:pPr>
        <w:spacing w:after="60"/>
        <w:ind w:firstLine="567"/>
        <w:jc w:val="both"/>
      </w:pPr>
      <w:r>
        <w:rPr>
          <w:rFonts w:ascii="Arial" w:cs="Arial" w:eastAsia="Arial" w:hAnsi="Arial"/>
          <w:sz w:val="24"/>
          <w:szCs w:val="24"/>
        </w:rPr>
        <w:t xml:space="preserve">(ii) раскрытие или использование информации требуется в соответствии с действующим законодательством или нормативными актами или с целью любого судебного или нормативного разбирательства или для предоставления в налоговый орган в связи с налоговыми делами Стороны или в соответствии с любыми действующими правилами допуска к листингу;</w:t>
      </w:r>
    </w:p>
    <w:p>
      <w:pPr>
        <w:spacing w:after="60"/>
        <w:ind w:firstLine="567"/>
        <w:jc w:val="both"/>
      </w:pPr>
      <w:r>
        <w:rPr>
          <w:rFonts w:ascii="Arial" w:cs="Arial" w:eastAsia="Arial" w:hAnsi="Arial"/>
          <w:sz w:val="24"/>
          <w:szCs w:val="24"/>
        </w:rPr>
        <w:t xml:space="preserve">(iii) информация становится общедоступной, но не в результате нарушения обязательства о конфиденциальности; или</w:t>
      </w:r>
    </w:p>
    <w:p>
      <w:pPr>
        <w:spacing w:after="60"/>
        <w:ind w:firstLine="567"/>
        <w:jc w:val="both"/>
      </w:pPr>
      <w:r>
        <w:rPr>
          <w:rFonts w:ascii="Arial" w:cs="Arial" w:eastAsia="Arial" w:hAnsi="Arial"/>
          <w:sz w:val="24"/>
          <w:szCs w:val="24"/>
        </w:rPr>
        <w:t xml:space="preserve">(iv) информация уже находится в законном владении получающей Стороны или самостоятельно разрабатывается получающей Стороной.</w:t>
      </w:r>
    </w:p>
    <w:p>
      <w:pPr>
        <w:spacing w:after="60" w:before="200"/>
        <w:ind w:firstLine="567"/>
        <w:jc w:val="left"/>
      </w:pPr>
      <w:r>
        <w:rPr>
          <w:rFonts w:ascii="Arial" w:cs="Arial" w:eastAsia="Arial" w:hAnsi="Arial"/>
          <w:b/>
          <w:bCs/>
          <w:sz w:val="24"/>
          <w:szCs w:val="24"/>
        </w:rPr>
        <w:t xml:space="preserve">4. Гарантии</w:t>
      </w:r>
    </w:p>
    <w:p>
      <w:pPr>
        <w:spacing w:after="60"/>
        <w:ind w:firstLine="567"/>
        <w:jc w:val="both"/>
      </w:pPr>
      <w:r>
        <w:rPr>
          <w:rFonts w:ascii="Arial" w:cs="Arial" w:eastAsia="Arial" w:hAnsi="Arial"/>
          <w:sz w:val="24"/>
          <w:szCs w:val="24"/>
        </w:rPr>
        <w:t xml:space="preserve">Каждая Сторона гарантирует и заявляет, что на дату заключения настоящего Соглашения:</w:t>
      </w:r>
    </w:p>
    <w:p>
      <w:pPr>
        <w:spacing w:after="60"/>
        <w:ind w:firstLine="567"/>
        <w:jc w:val="both"/>
      </w:pPr>
      <w:r>
        <w:rPr>
          <w:rFonts w:ascii="Arial" w:cs="Arial" w:eastAsia="Arial" w:hAnsi="Arial"/>
          <w:sz w:val="24"/>
          <w:szCs w:val="24"/>
        </w:rPr>
        <w:t xml:space="preserve">(i) она обладает всеми возможностями и полномочиями для заключения и исполнения настоящего Соглашения;</w:t>
      </w:r>
    </w:p>
    <w:p>
      <w:pPr>
        <w:spacing w:after="60"/>
        <w:ind w:firstLine="567"/>
        <w:jc w:val="both"/>
      </w:pPr>
      <w:r>
        <w:rPr>
          <w:rFonts w:ascii="Arial" w:cs="Arial" w:eastAsia="Arial" w:hAnsi="Arial"/>
          <w:sz w:val="24"/>
          <w:szCs w:val="24"/>
        </w:rPr>
        <w:t xml:space="preserve">(ii) настоящее Соглашение подписано надлежащим образом уполномоченным представителем этой Стороны; и</w:t>
      </w:r>
    </w:p>
    <w:p>
      <w:pPr>
        <w:spacing w:after="60"/>
        <w:ind w:firstLine="567"/>
        <w:jc w:val="both"/>
      </w:pPr>
      <w:r>
        <w:rPr>
          <w:rFonts w:ascii="Arial" w:cs="Arial" w:eastAsia="Arial" w:hAnsi="Arial"/>
          <w:sz w:val="24"/>
          <w:szCs w:val="24"/>
        </w:rPr>
        <w:t xml:space="preserve">(iii) после надлежащего заключения настоящее Соглашение будет представлять собой ее юридические, действительные и обязательные к исполнению обязательства.</w:t>
      </w:r>
    </w:p>
    <w:p>
      <w:pPr>
        <w:spacing w:after="60" w:before="200"/>
        <w:ind w:firstLine="567"/>
        <w:jc w:val="left"/>
      </w:pPr>
      <w:r>
        <w:rPr>
          <w:rFonts w:ascii="Arial" w:cs="Arial" w:eastAsia="Arial" w:hAnsi="Arial"/>
          <w:b/>
          <w:bCs/>
          <w:sz w:val="24"/>
          <w:szCs w:val="24"/>
        </w:rPr>
        <w:t xml:space="preserve">5. Возмещение убытков</w:t>
      </w:r>
    </w:p>
    <w:p>
      <w:pPr>
        <w:spacing w:after="60"/>
        <w:ind w:firstLine="567"/>
        <w:jc w:val="both"/>
      </w:pPr>
      <w:r>
        <w:rPr>
          <w:rFonts w:ascii="Arial" w:cs="Arial" w:eastAsia="Arial" w:hAnsi="Arial"/>
          <w:sz w:val="24"/>
          <w:szCs w:val="24"/>
        </w:rPr>
        <w:t xml:space="preserve">Участник COVAX должен ежеквартально возмещать Убытки, понесенные Ограждаемым лицом в отношении Требования о возмещении убытков, при условии, что по крайней мере за один месяц до каждой ежеквартальной даты Ограждаемое лицо предоставило Участнику COVAX достаточно удовлетворительные доказательства таких Убытков.</w:t>
      </w:r>
    </w:p>
    <w:p>
      <w:pPr>
        <w:spacing w:after="60" w:before="200"/>
        <w:ind w:firstLine="567"/>
        <w:jc w:val="left"/>
      </w:pPr>
      <w:r>
        <w:rPr>
          <w:rFonts w:ascii="Arial" w:cs="Arial" w:eastAsia="Arial" w:hAnsi="Arial"/>
          <w:b/>
          <w:bCs/>
          <w:sz w:val="24"/>
          <w:szCs w:val="24"/>
        </w:rPr>
        <w:t xml:space="preserve">6. Прочие положения</w:t>
      </w:r>
    </w:p>
    <w:p>
      <w:pPr>
        <w:spacing w:after="60" w:before="200"/>
        <w:ind w:firstLine="567"/>
        <w:jc w:val="left"/>
      </w:pPr>
      <w:r>
        <w:rPr>
          <w:rFonts w:ascii="Arial" w:cs="Arial" w:eastAsia="Arial" w:hAnsi="Arial"/>
          <w:b/>
          <w:bCs/>
          <w:sz w:val="24"/>
          <w:szCs w:val="24"/>
        </w:rPr>
        <w:t xml:space="preserve">6.1. Соглашение в целом</w:t>
      </w:r>
    </w:p>
    <w:p>
      <w:pPr>
        <w:spacing w:after="60"/>
        <w:ind w:firstLine="567"/>
        <w:jc w:val="both"/>
      </w:pPr>
      <w:r>
        <w:rPr>
          <w:rFonts w:ascii="Arial" w:cs="Arial" w:eastAsia="Arial" w:hAnsi="Arial"/>
          <w:sz w:val="24"/>
          <w:szCs w:val="24"/>
        </w:rPr>
        <w:t xml:space="preserve">6.1.1. Настоящее Соглашение представляет собой полное соглашение между Сторонами в отношении предмета настоящего Соглашения и (в пределах, допустимых законом) заменяет все предыдущие заявления или устные или письменные соглашения между Сторонами в отношении этого предмета.</w:t>
      </w:r>
    </w:p>
    <w:p>
      <w:pPr>
        <w:spacing w:after="60"/>
        <w:ind w:firstLine="567"/>
        <w:jc w:val="both"/>
      </w:pPr>
      <w:r>
        <w:rPr>
          <w:rFonts w:ascii="Arial" w:cs="Arial" w:eastAsia="Arial" w:hAnsi="Arial"/>
          <w:sz w:val="24"/>
          <w:szCs w:val="24"/>
        </w:rPr>
        <w:t xml:space="preserve">6.1.2. Каждая Сторона соглашается и признает, что ее не побудили к заключению настоящего Соглашения какие-либо заявления, гарантии или обязательства, прямо не включенные в него.</w:t>
      </w:r>
    </w:p>
    <w:p>
      <w:pPr>
        <w:spacing w:after="60" w:before="200"/>
        <w:ind w:firstLine="567"/>
        <w:jc w:val="left"/>
      </w:pPr>
      <w:r>
        <w:rPr>
          <w:rFonts w:ascii="Arial" w:cs="Arial" w:eastAsia="Arial" w:hAnsi="Arial"/>
          <w:b/>
          <w:bCs/>
          <w:sz w:val="24"/>
          <w:szCs w:val="24"/>
        </w:rPr>
        <w:t xml:space="preserve">6.2. Переуступка</w:t>
      </w:r>
    </w:p>
    <w:p>
      <w:pPr>
        <w:spacing w:after="60"/>
        <w:ind w:firstLine="567"/>
        <w:jc w:val="both"/>
      </w:pPr>
      <w:r>
        <w:rPr>
          <w:rFonts w:ascii="Arial" w:cs="Arial" w:eastAsia="Arial" w:hAnsi="Arial"/>
          <w:sz w:val="24"/>
          <w:szCs w:val="24"/>
        </w:rPr>
        <w:t xml:space="preserve">6.2.1. Ни одна из Сторон не вправе переуступать, обновлять или иным образом передавать какие-либо из своих прав или обязательств по настоящему Соглашению любому лицу без предварительного письменного согласия другой Стороны (отказ или задержка согласия без уважительной причины не допускается).</w:t>
      </w:r>
    </w:p>
    <w:p>
      <w:pPr>
        <w:spacing w:after="60" w:before="200"/>
        <w:ind w:firstLine="567"/>
        <w:jc w:val="left"/>
      </w:pPr>
      <w:r>
        <w:rPr>
          <w:rFonts w:ascii="Arial" w:cs="Arial" w:eastAsia="Arial" w:hAnsi="Arial"/>
          <w:b/>
          <w:bCs/>
          <w:sz w:val="24"/>
          <w:szCs w:val="24"/>
        </w:rPr>
        <w:t xml:space="preserve">6.3. Права третьих лиц</w:t>
      </w:r>
    </w:p>
    <w:p>
      <w:pPr>
        <w:spacing w:after="60"/>
        <w:ind w:firstLine="567"/>
        <w:jc w:val="both"/>
      </w:pPr>
      <w:r>
        <w:rPr>
          <w:rFonts w:ascii="Arial" w:cs="Arial" w:eastAsia="Arial" w:hAnsi="Arial"/>
          <w:sz w:val="24"/>
          <w:szCs w:val="24"/>
        </w:rPr>
        <w:t xml:space="preserve">6.3.1. Лицо, не являющееся Стороной настоящего Соглашения, не вправе требовать выполнения условий настоящего Соглашения на основании Закона "О защите прав третьих лиц, не являющихся стороной контракта" 1999 года, за исключением случаев, предусмотренных Пунктом 6.3.2 (Права третьих лиц).</w:t>
      </w:r>
    </w:p>
    <w:p>
      <w:pPr>
        <w:spacing w:after="60"/>
        <w:ind w:firstLine="567"/>
        <w:jc w:val="both"/>
      </w:pPr>
      <w:r>
        <w:rPr>
          <w:rFonts w:ascii="Arial" w:cs="Arial" w:eastAsia="Arial" w:hAnsi="Arial"/>
          <w:sz w:val="24"/>
          <w:szCs w:val="24"/>
        </w:rPr>
        <w:t xml:space="preserve">6.3.2. Каждое Ограждаемое лицо может обеспечивать соблюдение настоящего Соглашения и полагаться на него в той же мере, как если бы оно было Стороной.</w:t>
      </w:r>
    </w:p>
    <w:p>
      <w:pPr>
        <w:spacing w:after="60"/>
        <w:ind w:firstLine="567"/>
        <w:jc w:val="both"/>
      </w:pPr>
      <w:r>
        <w:rPr>
          <w:rFonts w:ascii="Arial" w:cs="Arial" w:eastAsia="Arial" w:hAnsi="Arial"/>
          <w:sz w:val="24"/>
          <w:szCs w:val="24"/>
        </w:rPr>
        <w:t xml:space="preserve">6.3.3. Настоящее Соглашение может быть расторгнуто, а любое условие может быть изменено или отменено без согласия любого лица, указанного в Пункте 6.3.2 (Права третьих лиц).</w:t>
      </w:r>
    </w:p>
    <w:p>
      <w:pPr>
        <w:spacing w:after="60" w:before="200"/>
        <w:ind w:firstLine="567"/>
        <w:jc w:val="left"/>
      </w:pPr>
      <w:r>
        <w:rPr>
          <w:rFonts w:ascii="Arial" w:cs="Arial" w:eastAsia="Arial" w:hAnsi="Arial"/>
          <w:b/>
          <w:bCs/>
          <w:sz w:val="24"/>
          <w:szCs w:val="24"/>
        </w:rPr>
        <w:t xml:space="preserve">6.4. Расходы</w:t>
      </w:r>
    </w:p>
    <w:p>
      <w:pPr>
        <w:spacing w:after="60"/>
        <w:ind w:firstLine="567"/>
        <w:jc w:val="both"/>
      </w:pPr>
      <w:r>
        <w:rPr>
          <w:rFonts w:ascii="Arial" w:cs="Arial" w:eastAsia="Arial" w:hAnsi="Arial"/>
          <w:sz w:val="24"/>
          <w:szCs w:val="24"/>
        </w:rPr>
        <w:t xml:space="preserve">Каждая Сторона должна нести свои собственные расходы, связанные с переговорами, подготовкой и заключением настоящего Соглашения.</w:t>
      </w:r>
    </w:p>
    <w:p>
      <w:pPr>
        <w:spacing w:after="60" w:before="200"/>
        <w:ind w:firstLine="567"/>
        <w:jc w:val="left"/>
      </w:pPr>
      <w:r>
        <w:rPr>
          <w:rFonts w:ascii="Arial" w:cs="Arial" w:eastAsia="Arial" w:hAnsi="Arial"/>
          <w:b/>
          <w:bCs/>
          <w:sz w:val="24"/>
          <w:szCs w:val="24"/>
        </w:rPr>
        <w:t xml:space="preserve">6.5. Несколько обязательств</w:t>
      </w:r>
    </w:p>
    <w:p>
      <w:pPr>
        <w:spacing w:after="60"/>
        <w:ind w:firstLine="567"/>
        <w:jc w:val="both"/>
      </w:pPr>
      <w:r>
        <w:rPr>
          <w:rFonts w:ascii="Arial" w:cs="Arial" w:eastAsia="Arial" w:hAnsi="Arial"/>
          <w:sz w:val="24"/>
          <w:szCs w:val="24"/>
        </w:rPr>
        <w:t xml:space="preserve">Ни одна из Сторон настоящего Соглашения не несет ответственности по обязательствам другой Стороны настоящего Соглашения. Права и обязанности каждой Стороны по настоящему Соглашению или в связи с ним являются отдельными и независимыми.</w:t>
      </w:r>
    </w:p>
    <w:p>
      <w:pPr>
        <w:spacing w:after="60" w:before="200"/>
        <w:ind w:firstLine="567"/>
        <w:jc w:val="left"/>
      </w:pPr>
      <w:r>
        <w:rPr>
          <w:rFonts w:ascii="Arial" w:cs="Arial" w:eastAsia="Arial" w:hAnsi="Arial"/>
          <w:b/>
          <w:bCs/>
          <w:sz w:val="24"/>
          <w:szCs w:val="24"/>
        </w:rPr>
        <w:t xml:space="preserve">6.6. Трактовка</w:t>
      </w:r>
    </w:p>
    <w:p>
      <w:pPr>
        <w:spacing w:after="60"/>
        <w:ind w:firstLine="567"/>
        <w:jc w:val="both"/>
      </w:pPr>
      <w:r>
        <w:rPr>
          <w:rFonts w:ascii="Arial" w:cs="Arial" w:eastAsia="Arial" w:hAnsi="Arial"/>
          <w:sz w:val="24"/>
          <w:szCs w:val="24"/>
        </w:rPr>
        <w:t xml:space="preserve">За исключением случаев, когда контекст требует иного, всякое единственное число включает в себя множественное число, множественное число включает в себя единственное число, использование любого рода применимо ко всем родам и слово "или" имеет не исключающее значение, представленное фразой "и/или". Заголовки пунктов настоящего Соглашения служат только для справки и не определяют, не описывают, не расширяют и не ограничивают объем или цель настоящего Соглашения, а также объем или цель любого положения, содержащегося в этом Соглашении. Термины "включая" или "включает", используемые в настоящем Соглашении, означают, без ограничения общности, включение любого описания, предшествующего такому термину. Формулировка настоящего Соглашения считается формулировкой, взаимно выбранной Сторонами, и никакие правила ограничительного толкования не применяются к любой из Сторон.</w:t>
      </w:r>
    </w:p>
    <w:p>
      <w:pPr>
        <w:spacing w:after="60" w:before="200"/>
        <w:ind w:firstLine="567"/>
        <w:jc w:val="left"/>
      </w:pPr>
      <w:r>
        <w:rPr>
          <w:rFonts w:ascii="Arial" w:cs="Arial" w:eastAsia="Arial" w:hAnsi="Arial"/>
          <w:b/>
          <w:bCs/>
          <w:sz w:val="24"/>
          <w:szCs w:val="24"/>
        </w:rPr>
        <w:t xml:space="preserve">6.7. Поправки</w:t>
      </w:r>
    </w:p>
    <w:p>
      <w:pPr>
        <w:spacing w:after="60"/>
        <w:ind w:firstLine="567"/>
        <w:jc w:val="both"/>
      </w:pPr>
      <w:r>
        <w:rPr>
          <w:rFonts w:ascii="Arial" w:cs="Arial" w:eastAsia="Arial" w:hAnsi="Arial"/>
          <w:sz w:val="24"/>
          <w:szCs w:val="24"/>
        </w:rPr>
        <w:t xml:space="preserve">Никакие изменения настоящего Соглашения не имеют силы, если они не составлены в письменной форме и не подписаны каждой из Сторон или от ее имени.</w:t>
      </w:r>
    </w:p>
    <w:p>
      <w:pPr>
        <w:spacing w:after="60" w:before="200"/>
        <w:ind w:firstLine="567"/>
        <w:jc w:val="left"/>
      </w:pPr>
      <w:r>
        <w:rPr>
          <w:rFonts w:ascii="Arial" w:cs="Arial" w:eastAsia="Arial" w:hAnsi="Arial"/>
          <w:b/>
          <w:bCs/>
          <w:sz w:val="24"/>
          <w:szCs w:val="24"/>
        </w:rPr>
        <w:t xml:space="preserve">6.8. Экземпляры(1)</w:t>
      </w:r>
    </w:p>
    <w:p>
      <w:pPr>
        <w:spacing w:after="60"/>
        <w:ind w:firstLine="567"/>
        <w:jc w:val="both"/>
      </w:pPr>
      <w:r>
        <w:rPr>
          <w:rFonts w:ascii="Arial" w:cs="Arial" w:eastAsia="Arial" w:hAnsi="Arial"/>
          <w:sz w:val="24"/>
          <w:szCs w:val="24"/>
        </w:rPr>
        <w:t xml:space="preserve">Настоящее Соглашение может быть заключено в любом количестве экземпляров, каждый из которых считается оригиналом, а все вместе - одним и тем же соглашением. Стороны соглашаются с тем, что заключение настоящего Соглашения с использованием стандартного программного обеспечения для электронной подписи и/или путем обмена подписанными страницами в формате .pdf по электронной почте имеет такую же юридическую силу и действие, как и обмен оригинальными подписями, и что в любом разбирательстве, возникающем в соответствии с настоящим Соглашением или связанном с ним, каждая Сторона настоящим отказывается от любого права ссылаться на любые возражения или отказ на основании того, что настоящее Соглашение заключено с использованием таких электронных подписей или подписано в электронном виде.</w:t>
      </w:r>
    </w:p>
    <w:p>
      <w:pPr>
        <w:spacing w:after="60" w:before="200"/>
        <w:ind w:firstLine="567"/>
        <w:jc w:val="left"/>
      </w:pPr>
      <w:r>
        <w:rPr>
          <w:rFonts w:ascii="Arial" w:cs="Arial" w:eastAsia="Arial" w:hAnsi="Arial"/>
          <w:b/>
          <w:bCs/>
          <w:sz w:val="24"/>
          <w:szCs w:val="24"/>
        </w:rPr>
        <w:t xml:space="preserve">6.9. Уведомление</w:t>
      </w:r>
    </w:p>
    <w:p>
      <w:pPr>
        <w:spacing w:after="60"/>
        <w:ind w:firstLine="567"/>
        <w:jc w:val="both"/>
      </w:pPr>
      <w:r>
        <w:rPr>
          <w:rFonts w:ascii="Arial" w:cs="Arial" w:eastAsia="Arial" w:hAnsi="Arial"/>
          <w:sz w:val="24"/>
          <w:szCs w:val="24"/>
        </w:rPr>
        <w:t xml:space="preserve">Любое уведомление, запрос или другое сообщение, разрешенное или требуемое в соответствии с настоящим Соглашением, должно направляться в письменной форме, и считается направленным только в том случае, если оно доставлено или отправлено международно признанной службой, осуществляющей доставку на следующий день, с предоплатой, адресованной соответствующей Стороне по адресу, указанному выше (или по адресу, который Сторона-получатель уведомления, могла сообщить другой Стороне в соответствии с настоящим Пунктом 6.9), и направлено получателю [•] (в отношении Изготовителя) или [•] (в отношении Участника COVAX). Копия сообщения также должна быть отправлена по электронной почте Изготовителю по адресу [•] или Участнику COVAX по адресу [•]. Такое уведомление считается направленным с даты доставки лично или на четвертый календарный день (в месте доставки) после передачи международно признанной службе, осуществляющей доставку на следующий день, в зависимости от того, какое из этих событий наступит раньше.</w:t>
      </w:r>
    </w:p>
    <w:p>
      <w:pPr>
        <w:spacing w:after="60" w:before="200"/>
        <w:ind w:firstLine="567"/>
        <w:jc w:val="left"/>
      </w:pPr>
      <w:r>
        <w:rPr>
          <w:rFonts w:ascii="Arial" w:cs="Arial" w:eastAsia="Arial" w:hAnsi="Arial"/>
          <w:b/>
          <w:bCs/>
          <w:sz w:val="24"/>
          <w:szCs w:val="24"/>
        </w:rPr>
        <w:t xml:space="preserve">6.10. Недействительность</w:t>
      </w:r>
    </w:p>
    <w:p>
      <w:pPr>
        <w:spacing w:after="60"/>
        <w:ind w:firstLine="567"/>
        <w:jc w:val="both"/>
      </w:pPr>
      <w:r>
        <w:rPr>
          <w:rFonts w:ascii="Arial" w:cs="Arial" w:eastAsia="Arial" w:hAnsi="Arial"/>
          <w:sz w:val="24"/>
          <w:szCs w:val="24"/>
        </w:rPr>
        <w:t xml:space="preserve">6.10.1. Если какое-либо положение настоящего Соглашения будет признано незаконным, недействительным или неисполнимым, полностью или частично, это положение применяется с любыми изъятиями или изменениями, которые необходимы для того, чтобы это положение было законным, действительным и исполнимым и позволяло осуществлять коммерческие намерения Сторон.</w:t>
      </w:r>
    </w:p>
    <w:p>
      <w:pPr>
        <w:spacing w:after="60"/>
        <w:ind w:firstLine="567"/>
        <w:jc w:val="both"/>
      </w:pPr>
      <w:r>
        <w:rPr>
          <w:rFonts w:ascii="Arial" w:cs="Arial" w:eastAsia="Arial" w:hAnsi="Arial"/>
          <w:sz w:val="24"/>
          <w:szCs w:val="24"/>
        </w:rPr>
        <w:t xml:space="preserve">6.10.2. Если невозможно удалить или изменить положение, полностью или частично, в соответствии с Пунктом 6.10.1 (Недействительность), то такое положение или его часть, в той мере, в какой они незаконны, недействительны или неисполнимы, считаются исключенными из настоящего Соглашения, а законность, действительность и исполнимость остальной части Соглашения, с учетом любого удаления или изменения, сделанного в соответствии с Пунктом 6.10.1 (Недействительность), не затрагиваются.</w:t>
      </w:r>
    </w:p>
    <w:p>
      <w:pPr>
        <w:spacing w:after="60" w:before="200"/>
        <w:ind w:firstLine="567"/>
        <w:jc w:val="left"/>
      </w:pPr>
      <w:r>
        <w:rPr>
          <w:rFonts w:ascii="Arial" w:cs="Arial" w:eastAsia="Arial" w:hAnsi="Arial"/>
          <w:b/>
          <w:bCs/>
          <w:sz w:val="24"/>
          <w:szCs w:val="24"/>
        </w:rPr>
        <w:t xml:space="preserve">6.11. Отказ от прав</w:t>
      </w:r>
    </w:p>
    <w:p>
      <w:pPr>
        <w:spacing w:after="60"/>
        <w:ind w:firstLine="567"/>
        <w:jc w:val="both"/>
      </w:pPr>
      <w:r>
        <w:rPr>
          <w:rFonts w:ascii="Arial" w:cs="Arial" w:eastAsia="Arial" w:hAnsi="Arial"/>
          <w:sz w:val="24"/>
          <w:szCs w:val="24"/>
        </w:rPr>
        <w:t xml:space="preserve">Неспособность Стороны обеспечить соблюдение в любое время или в течение любого периода времени любого положения настоящего Соглашения или реализовать какое-либо право или средство правовой защиты не означает отказ от этого положения, права или средства правовой защиты или не препятствует такой Стороне обеспечить соблюдение какого-либо или всех положений настоящего Соглашения и использования любых прав или средств правовой защиты. Для вступления в силу любой отказ должен быть оформлен в письменной форме. Права и средства правовой защиты, предусмотренные в настоящем документе, являются кумулятивными и не исключают каких-либо других прав или средств правовой защиты, предусмотренных законом или доступных иным образом, за исключением случаев, прямо указанных в настоящем документе.</w:t>
      </w:r>
    </w:p>
    <w:p>
      <w:pPr>
        <w:spacing w:after="60" w:before="200"/>
        <w:ind w:firstLine="567"/>
        <w:jc w:val="left"/>
      </w:pPr>
      <w:r>
        <w:rPr>
          <w:rFonts w:ascii="Arial" w:cs="Arial" w:eastAsia="Arial" w:hAnsi="Arial"/>
          <w:b/>
          <w:bCs/>
          <w:sz w:val="24"/>
          <w:szCs w:val="24"/>
        </w:rPr>
        <w:t xml:space="preserve">6.12. Применимое право и подсудность</w:t>
      </w:r>
    </w:p>
    <w:p>
      <w:pPr>
        <w:spacing w:after="60"/>
        <w:ind w:firstLine="567"/>
        <w:jc w:val="both"/>
      </w:pPr>
      <w:r>
        <w:rPr>
          <w:rFonts w:ascii="Arial" w:cs="Arial" w:eastAsia="Arial" w:hAnsi="Arial"/>
          <w:sz w:val="24"/>
          <w:szCs w:val="24"/>
        </w:rPr>
        <w:t xml:space="preserve">6.12.1. Настоящее Соглашение и любые внедоговорные обязательства, вытекающие из него или в связи с ним, регулируются английским законодательством.</w:t>
      </w:r>
    </w:p>
    <w:p>
      <w:pPr>
        <w:spacing w:after="60"/>
        <w:ind w:firstLine="567"/>
        <w:jc w:val="both"/>
      </w:pPr>
      <w:r>
        <w:rPr>
          <w:rFonts w:ascii="Arial" w:cs="Arial" w:eastAsia="Arial" w:hAnsi="Arial"/>
          <w:sz w:val="24"/>
          <w:szCs w:val="24"/>
        </w:rPr>
        <w:t xml:space="preserve">6.12.2. Все споры, вытекающие из настоящего Соглашения или в связи с ним, включая споры относительно его заключения, действительности, существования, обязательной силы и изменения, включая спор относительно действительности и существования настоящего Пункта 6.12, разрешаются в конфиденциальном арбитражном порядке в соответствии с Арбитражным регламентом Международной торговой палаты. Должно быть назначено три арбитра, по одному каждой Стороной или от ее имени, а третий арбитр, который выступает в качестве председателя суда, назначается двумя арбитрами, назначенными Сторонами или от их имени. Если третий арбитр не выбран и не назначен в Международный арбитражный суд МТП в течение 30 дней с даты утверждения кандидатуры последнего из двух арбитров, назначенных сторонами (кандидатуры должны быть утверждены Международным арбитражным судом МТП), третий арбитр выбирается Международным арбитражным судом МТП. Ни один арбитр не должен быть гражданином той же страны, что и любая из сторон. Арбитражный суд должен составить и представить сторонам на подпись Акт о полномочиях арбитров в течение 21 дня с момента получения дела. В Акт о полномочиях арбитров не входит перечень вопросов, подлежащих определению. Местонахождение суда и место проведения его заседаний должно быть в Женеве. Язык арбитража - английский. Стороны соглашаются соблюдать любое решение, вынесенное судом. Стороны отказываются от своего права на любую форму обжалования, пересмотра или обращения в любой государственный суд или другой юридический орган в той мере, в какой такой отказ не запрещен каким-либо действующим законом.</w:t>
      </w:r>
    </w:p>
    <w:p>
      <w:pPr>
        <w:spacing w:after="60" w:before="200"/>
        <w:ind w:firstLine="567"/>
        <w:jc w:val="left"/>
      </w:pPr>
      <w:r>
        <w:rPr>
          <w:rFonts w:ascii="Arial" w:cs="Arial" w:eastAsia="Arial" w:hAnsi="Arial"/>
          <w:b/>
          <w:bCs/>
          <w:sz w:val="24"/>
          <w:szCs w:val="24"/>
        </w:rPr>
        <w:t xml:space="preserve">6.13. Отказ от суверенного иммунитета</w:t>
      </w:r>
    </w:p>
    <w:p>
      <w:pPr>
        <w:spacing w:after="60"/>
        <w:ind w:firstLine="567"/>
        <w:jc w:val="both"/>
      </w:pPr>
      <w:r>
        <w:rPr>
          <w:rFonts w:ascii="Arial" w:cs="Arial" w:eastAsia="Arial" w:hAnsi="Arial"/>
          <w:sz w:val="24"/>
          <w:szCs w:val="24"/>
        </w:rPr>
        <w:t xml:space="preserve">Участник COVAX настоящим прямо, безоговорочно и безотзывно отказывается, в максимально возможной степени, в отношении себя и своих активов от любого права на иммунитет (включая, помимо прочего, любой иммунитет от исполнения постановления суда, юрисдикции, наложения ареста или исполнения решения) в соответствии с законами любой юрисдикции на основании суверенитета или иным образом, который может существовать в настоящее время или в будущем, и соглашается не заявлять такое право или требование в любых судебных жалобах или разбирательствах, где бы такие жалобы ни подавались и такие разбирательства ни происходили. Этот отказ включает в себя отказ от любого права суверенного иммунитета в отношении Участника COVAX и любой его собственности, коммерческой или некоммерческой, включая любой банковский счет, принадлежащий Участнику COVAX.</w:t>
      </w:r>
    </w:p>
    <w:p>
      <w:pPr>
        <w:spacing w:after="60" w:before="200"/>
        <w:ind w:firstLine="567"/>
        <w:jc w:val="left"/>
      </w:pPr>
      <w:r>
        <w:rPr>
          <w:rFonts w:ascii="Arial" w:cs="Arial" w:eastAsia="Arial" w:hAnsi="Arial"/>
          <w:b/>
          <w:bCs/>
          <w:sz w:val="24"/>
          <w:szCs w:val="24"/>
        </w:rPr>
        <w:t xml:space="preserve">6.14. Язык</w:t>
      </w:r>
    </w:p>
    <w:p>
      <w:pPr>
        <w:spacing w:after="60"/>
        <w:ind w:firstLine="567"/>
        <w:jc w:val="both"/>
      </w:pPr>
      <w:r>
        <w:rPr>
          <w:rFonts w:ascii="Arial" w:cs="Arial" w:eastAsia="Arial" w:hAnsi="Arial"/>
          <w:sz w:val="24"/>
          <w:szCs w:val="24"/>
        </w:rPr>
        <w:t xml:space="preserve">Настоящее Соглашение заключено на английском языке. Если настоящее Соглашение переведено на другой язык, любой перевод не дублирует права и обязанности Сторон, и Стороны признают, что редакция настоящего Соглашения на английском языке является обязательной для Сторон. В случае любых несоответствий или различий в толковании между любым переводом и редакцией на английском языке преимущественную силу имеет редакция на английском языке.</w:t>
      </w:r>
    </w:p>
    <w:p>
      <w:pPr>
        <w:spacing w:after="60"/>
        <w:ind w:firstLine="567"/>
        <w:jc w:val="both"/>
      </w:pPr>
      <w:r>
        <w:rPr>
          <w:rFonts w:ascii="Arial" w:cs="Arial" w:eastAsia="Arial" w:hAnsi="Arial"/>
          <w:sz w:val="24"/>
          <w:szCs w:val="24"/>
        </w:rPr>
        <w:t xml:space="preserve">В удостоверение чего надлежащим образом оформлено настоящее Соглашение(2).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от имени и по поручению</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[ИЗГОТОВИТЕЛЯ]: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от имени и по поручению</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[УЧАСТНИКА COVAX]:</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Примечание к проекту: В настоящий Пункт могут быть внесены поправки, отражающие требования местного законодательства в отношении действительного оформления документов.</w:t>
      </w:r>
    </w:p>
    <w:p>
      <w:pPr>
        <w:spacing w:after="60"/>
        <w:ind w:firstLine="567"/>
        <w:jc w:val="both"/>
      </w:pPr>
      <w:r>
        <w:rPr>
          <w:rFonts w:ascii="Arial" w:cs="Arial" w:eastAsia="Arial" w:hAnsi="Arial"/>
          <w:sz w:val="24"/>
          <w:szCs w:val="24"/>
        </w:rPr>
        <w:t xml:space="preserve">(2) Примечание к проекту: В процедуру заключения могут быть внесены поправки, отражающие требования местного законодательства в отношении действительного оформления документов.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fongtxi39yvu-arf2xu">
      <w:r>
        <w:rPr>
          <w:rFonts w:ascii="Arial" w:cs="Arial" w:eastAsia="Arial" w:hAnsi="Arial"/>
          <w:color w:val="132D3F"/>
          <w:sz w:val="16"/>
          <w:szCs w:val="16"/>
          <w:u w:val="single"/>
        </w:rPr>
        <w:t xml:space="preserve">dalil.kg/document/218512</w:t>
      </w:r>
    </w:hyperlink>
  </w:p>
  <w:p>
    <w:pPr>
      <w:spacing w:after="0" w:before="40"/>
      <w:jc w:val="center"/>
    </w:pPr>
    <w:hyperlink w:history="1" r:id="rId0axzgxhcoojs44y57uo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diksn3plepkrqkeqlcb" Type="http://schemas.openxmlformats.org/officeDocument/2006/relationships/hyperlink" Target="https://dalil.kg/document/203685#st_10" TargetMode="External"/><Relationship Id="rIdynz9v5bnku0wqntso_qil" Type="http://schemas.openxmlformats.org/officeDocument/2006/relationships/hyperlink" Target="https://dalil.kg/document/203685#st_17" TargetMode="External"/><Relationship Id="rIdxc4_a7dphrzssjvwriq9l" Type="http://schemas.openxmlformats.org/officeDocument/2006/relationships/hyperlink" Target="https://dalil.kg/document/218512#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fongtxi39yvu-arf2xu" Type="http://schemas.openxmlformats.org/officeDocument/2006/relationships/hyperlink" Target="https://dalil.kg/document/218512" TargetMode="External"/><Relationship Id="rId0axzgxhcoojs44y57uo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2026-10-01T07:46:48.136Z</dcterms:created>
  <dcterms:modified xsi:type="dcterms:W3CDTF">2026-10-01T07:46:48.136Z</dcterms:modified>
</cp:coreProperties>
</file>

<file path=docProps/custom.xml><?xml version="1.0" encoding="utf-8"?>
<Properties xmlns="http://schemas.openxmlformats.org/officeDocument/2006/custom-properties" xmlns:vt="http://schemas.openxmlformats.org/officeDocument/2006/docPropsVTypes"/>
</file>