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26 мая 2021 года № 16-р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сотрудничества в области санитарной охраны территорий государств-участников Содружества Независимых Государств от болезней, ассоциируемых с чрезвычайными ситуациями, в соответствии с Законом Кыргызской Республики «О международных договорах Кыргызской Республики», статьями 10 и 17 конституционного Закона Кыргызской Республики «О Правительстве Кыргызской Республики»: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прилагаемый на официальном языке </w:t>
      </w:r>
      <w:hyperlink w:history="1" r:id="rIdw-e2-hts2h0ta7tzkif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Соглашения о сотрудничестве в области санитарной охраны территорий государств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участников Содружества Независимых Государств, с учетом возможных изменений и дополнений непринципиального характера.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сотрудничестве в области сани гарной охраны территорий государств -участников Содружества Независимых Государств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государств - участников настоящего Соглашения, именуемые в дальнейшем Сторонами, признавая важность сотрудничества в предотвращении: завоза и распространения инфекционных болезней, ассоциируемых в соответствии с Международными медико-санитарными правилами (2005 г.) (далее - ММСП) с чрезвычайными ситуациями в области общественного здравоохранения, имеющими международное значение и требующими взаимодействия по санитарной охране территорий государств - участников настоящего Соглашения (далее чрезвычайные ситуации), завоза и реализации товаров, потенциально опасных для здоровья населения и ассоциируемых с возможностью возникновения чрезвычайных ситуаций,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желанием продолжить и расширить сотрудничество в области здравоохранения и сотрудничать в проведении государственных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противоэпидемических (профилактических) мероприятий по санитарной охране территорий государств - участников настоящего Соглашения,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интересов взаимного предохранения территорий государств -участников настоящего Соглашения от завоза и реализации потенциально опасных для здоровья населения товаров при осуществлении контрактов и развитии хозяйственных и торговых связей в рамках Содружества Независимых Государств,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проводя т необходимые мероприятия по санитарной охране территорий государств участников настоящего Соглашения в отношении: болезней, ассоциируемых с чрезвычайными ситуациями пли с возможностью            возникновения чрезвычайных ситуаций, согласно приложению к настоящему Соглашению;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товаров, подлежащих санитарно-эпидемиологическому надзору (контролю), согласно перечням, которые определяются в соответствии с законодательством и иными нормативными правовыми актами, составляющими право государств участников настоящего Соглашения.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сотрудничества в области санитарной охраны территорий государств - участников настоящего Соглашения Стороны обязуются: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содействовать реализации </w:t>
      </w:r>
      <w:r>
        <w:rPr>
          <w:rFonts w:ascii="Arial" w:cs="Arial" w:eastAsia="Arial" w:hAnsi="Arial"/>
          <w:sz w:val="24"/>
          <w:szCs w:val="24"/>
        </w:rPr>
        <w:t xml:space="preserve">MMCII </w:t>
      </w:r>
      <w:r>
        <w:rPr>
          <w:rFonts w:ascii="Arial" w:cs="Arial" w:eastAsia="Arial" w:hAnsi="Arial"/>
          <w:sz w:val="24"/>
          <w:szCs w:val="24"/>
        </w:rPr>
        <w:t xml:space="preserve">н нормативных документов но санитарной охране территорий, принимаемых в рамках Содружества Независимых Государств;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необходимые меры для предупреждения завоза и распространения болезней, ассоциируемых с чрезвычайными ситуациями или с возможностью возникновения чрезвычайных ситуаций, а также предотвращения завоза потенциально опасных для здоровья населения товаров;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оперативно информировать Стороны о выявлении н распространении болезней, ассоциируемых с чрезвычайными ситуациями или с возможностью возникновения чрезвычайных ситуаций;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обмениваться нормативными правовыми актами и другими документами, регулирующими мероприятия по санитарной охране территорий;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обмениваться информацией о научно-исследовательских работах в области санитарной охраны территорий;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обмениваться специалистами в целях изучения достижений науки и практики в области санитарной охраны территорий;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направлять специалистов для участия в организуемых Сторонами конференциях и научных встречах, семинарах, симпозиумах, съездах по проблемам охраны здоровья населения;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содействовать обмену опытом работы по совершенствованию обеспечения санитарно-эпидемиологического благополучия населения и проведению совместных научных исследований в области гигиены, эпидемиологии и профилактики болезней, ассоциируемых с чрезвычайными ситуациями или с возможностью возникновения чрезвычайных ситуаций;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оказывать практическую, научную, техническую и другую помощь в проведении санитарно-противоэпидемических (профилактических) мероприятий и направлять по просьбе любой из Сторон специализированные противоэпидемические бригады.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настоящего Соглашения каждое государство - участник настоящего Соглашения определяем уполномоченный орган (органы), о чем информируем депозитарий одновременно с направлением уведомления о выполнении внутригосударственных процедур.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изменения уполномоченного органа соответствующая Сторона в течение 30 дней письменно информирует об этом депозитарий.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сотрудничества государств - участников настоящего Соглашения проводится в рамках деятельности Совета по сотрудничеству в области здравоохранения Содружества Независимых Государств (далее - Совет).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Координация взаимодействия Сторон по вопросам санитарной охраны территорий, разработка проектов нормативных и методических документов, исследовательских работ н практических мероприятий осуществляются Координационным советом по проблемам санитарной охраны территорий государств - участников Содружества Независимых Государств от завоза и распространения особо опасных инфекционных болезней (далее - Координационный совет).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Организационно-техническое обеспечение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Координационного совета, а также разработка совместно с соответствующими научно-исследовательскими институтами государств - участников настоящего Соглашения нормативных и методических документов по вопросам санитарной охраны территорий осуществляются федеральным казенным учреждением здравоохранения «Российский научно-исследовательский противочумный институт «Микроб» Федеральной службы по надзору в сфере защиты прав потребителей и благополучия человека (Российская Федерация).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и состав Координационного совета утверждаются Советом.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обязуются принимать необходимые меры к предотвращению завоза па территорию другого государства - участника настоящего Соглашения потенциально опасных для здоровья населения товаров и оперативно информировать Стороны о случаях выявления и распространения таких товаров.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партия товаров, подлежащая санитарно- эпидемиологическому надзору (контролю), вывозимая с территории одного государства - участника настоящего Соглашения на территорию другого государства - участника настоящего Соглашения, должна сопровождаться документами об оценке (подтверждении соответствия), выданными уполномоченными органами Сторон, в случаях и в порядке, предусмотренных международными договорами и законодательством государств - участников настоящего Соглашения.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органы Сторон оставляют за собой право вводить временные санитарные меры па ввоз на территорию своего государства подлежащих санитарно-эпидемиологическому надзору (контролю) товаров, потенциально опасных для здоровья населения и ассоциируемых с возможностью возникновения чрезвычайных ситуаций.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одной Стороны извещает уполномоченные органы государств - участников настоящего Соглашения о введении временных санитарных мер, сроках их действия и перечне товаров, на которые они распространяются.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Транспортные средства государства - участника настоящего Соглашения, используемые для перевозки пассажиров и товаров на территорию другого государства - участника настоящего Соглашения, должны соответствовать санитарно-эпидемиологическим и гигиеническим требованиям принимающего государства — участника настоящего Соглашения, если иное не установлено международными договорами, участниками которых являются государства — участники настоящего Соглашения.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санитарно-эпидемиологического надзора (контроля) в случае выявления товара, не соответствующего санитарно- эпидемиологическим и гигиеническим требованиям, уполномоченные органы Сторон имеют право на ограничение ввоза, возврат, обеззараживание (обезвреживание) товара, а при невозможности выполнения указанных мер - его уничтожение в соответствии с национальным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выявлении товара, потенциально опасного для здоровья населения и ассоциируемого с возможностью возникновения чрезвычайной ситуации, информируются уполномоченные органы государств - участников настоящего Соглашения.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проводимых Сторонами мероприятий по реализации настоящего Соглашения осуществляется в рамках средств, предусматриваемых в бюджетах государств - участников Содружества Независимых Государств министерствам и ведомствам на обеспечение возложенных на них функций и/или реализацию соответствующих национальных программ, а также за счет внебюджетных источников, привлекаемых государствами (их хозяйствующими субъектами) в порядке, установленном национальным законодательством.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обязательств каждой из Сторон, вытекающих для нее из других международных договоров, участником которых является ее государство.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Соглашения применяются в отношениях между государствами - членами Евразийского экономического союза в гой части, в которой они не противоречат праву Евразийского экономического союза в понимании статьи 6 Договора о Евразийском экономическом союзе от 29 мая 2014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взаимной договоренности Сторон в настоящее Соглашение могут быть внесены изменения, которые оформляются соответствующим протоколом и являются неотъемлемой частью настоящего Соглашения.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Статьи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Спорные вопросы между Сторонами, связанные с применением или толкованием настоящего Соглашения, решаются путем консультаций и переговоров заинтересованных Сторон.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Статьи 12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по истечении 30 дней с даты получения депозитарием третьего уведомления о выполнении подписавшими его Сторонами внутригосударственных процедур, необходимых для его вступления в силу.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Сторон, выполнивших внутригосударственные процедуры позднее, настоящее Соглашение вступает в силу по истечении 30 дней с даты получения депозитарию соответствующих документов.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Статьи 13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после его вступления в силу открыто для присоединения любого государства путем передачи депозитарию документа о присоединении.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 - участника Содружества Независимых Государств настоящее Соглашение вступает в силу по истечении 30 дней с даты получения депозитарием документа о присоединении.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государства, не являющегося участником Содружества Независимых Государств, настоящее Соглашение вступает в силу по истечении 30 дней с даты получения депозитарием последнего уведомления о согласии подписавших его или присоединившихся к нему государств на такое присоединение.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заключается на неопределенный срок. Каждая из Сторон вправе выйти из настоящего Соглашения, направив депозитарию письменное уведомление о гаком своем намерении не позднее чем за 6 месяцев до выхода и урегулировав финансовые и иные обязательства, возникшие за время действия настоящего Соглашения.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Статьи 15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 даты вступления в силу настоящего Соглашения для Сторон, выполнивших внутригосударственные процедуры, необходимые для его вступления в силу, прекращаем свое действие Соглашение о сотрудничестве в области сани тарной охраны территорий государств участников Содружества Независимых Государств от 31 мая 2001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отношениях между Сторонами, для которых настоящее Соглашение не вступило в силу, будет продолжать применяться Соглашение о сотрудничестве в области санитарной охраны территорий государств - участников Содружества 11езавнсммых Государств от 31 мая 2001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____________ «____» __________2021 года в одном подлинном экземпляре на русском языке. Подлинный экземпляр хранится в Исполнительном комитете Содружества Независимых Государств, который направит каждому государству, подписавшему настоящее Соглашение, его заверенную копию.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                                                         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Азербайджанской Республики                                  Российской Федерации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                                                         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Армения                                                   Республики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                                                         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Беларусь                                                  Туркменистан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                                                         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Казахстан                                                 Республики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Кабинет Министров                                                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                                            Украины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Республики Молдова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болезней, ассоциируемых с чрезвычайными ситуациями или с возможностью возникновения чрезвычайных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"/>
        <w:gridCol w:w="448"/>
        <w:gridCol w:w="448"/>
        <w:gridCol w:w="4299"/>
        <w:gridCol w:w="2471"/>
        <w:gridCol w:w="2471"/>
        <w:gridCol w:w="16"/>
      </w:tblGrid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№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п/п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Наименований болезни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Код по МКБ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1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Болезни, ассоциируемые с чрезвычайными ситуациями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Оспа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Полиомиелит, вызванный диким полиовирусом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А80.1, Д80.2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Человеческий грипп, вызванный новым подтипом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.109,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1: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1 1.1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Тяжелый острый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респираторный синдром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(ТОРС)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04: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LJ04.9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41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Болезни, ассоциируемые с возможностью возникновения чрезвычайных ситуаций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Холера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А.00: А.00.0, А00.1, А00.9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Чума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А20: А20.0, А20.1, А20.2, А20.3, А20.7, А20.8, А20.9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Желтая лихорадка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А95: А95.0, А95.1, А95.9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Ласса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А96.2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Болезнь, вызванная вирусом Марбург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А98.3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Болезнь, вызванная вирусом Эбола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А98.4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Ближневосточный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pec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пираторный синдром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Малярия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В50: 1350.0, В50.8, В50.9; В5 1: 1351.0, В51.8,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.9; В52: В52.0, В52.8, В52.9; В53.0;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54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4299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Западного 1 [ила</w:t>
            </w:r>
          </w:p>
        </w:tc>
        <w:tc>
          <w:tcPr>
            <w:tcW w:type="dxa" w:w="494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А92.3</w:t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9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94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2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М&gt;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п/п</w:t>
            </w:r>
          </w:p>
        </w:tc>
        <w:tc>
          <w:tcPr>
            <w:tcW w:type="dxa" w:w="7218"/>
            <w:gridSpan w:val="3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Наименование болезни</w:t>
            </w:r>
          </w:p>
        </w:tc>
        <w:tc>
          <w:tcPr>
            <w:tcW w:type="dxa" w:w="2487"/>
            <w:gridSpan w:val="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Код по МКБ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*</w:t>
            </w:r>
          </w:p>
        </w:tc>
      </w:tr>
      <w:tr>
        <w:tc>
          <w:tcPr>
            <w:tcW w:type="dxa" w:w="47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Крымская геморрагическая лихорадка</w:t>
            </w:r>
          </w:p>
        </w:tc>
        <w:tc>
          <w:tcPr>
            <w:tcW w:type="dxa" w:w="2487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А98.0</w:t>
            </w:r>
          </w:p>
        </w:tc>
      </w:tr>
      <w:tr>
        <w:tc>
          <w:tcPr>
            <w:tcW w:type="dxa" w:w="47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Денге</w:t>
            </w:r>
          </w:p>
        </w:tc>
        <w:tc>
          <w:tcPr>
            <w:tcW w:type="dxa" w:w="2487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А97: А97.0, А97.1, А97.2, А97.9</w:t>
            </w:r>
          </w:p>
        </w:tc>
      </w:tr>
      <w:tr>
        <w:tc>
          <w:tcPr>
            <w:tcW w:type="dxa" w:w="47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Рифт-Валли (долины Рифт)</w:t>
            </w:r>
          </w:p>
        </w:tc>
        <w:tc>
          <w:tcPr>
            <w:tcW w:type="dxa" w:w="2487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А92.4</w:t>
            </w:r>
          </w:p>
        </w:tc>
      </w:tr>
      <w:tr>
        <w:tc>
          <w:tcPr>
            <w:tcW w:type="dxa" w:w="47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Зика</w:t>
            </w:r>
          </w:p>
        </w:tc>
        <w:tc>
          <w:tcPr>
            <w:tcW w:type="dxa" w:w="2487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06: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U06.9</w:t>
            </w:r>
          </w:p>
        </w:tc>
      </w:tr>
      <w:tr>
        <w:tc>
          <w:tcPr>
            <w:tcW w:type="dxa" w:w="47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Менингококковая болезнь</w:t>
            </w:r>
          </w:p>
        </w:tc>
        <w:tc>
          <w:tcPr>
            <w:tcW w:type="dxa" w:w="2487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АЗ9: А39.0,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A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А39.2, А39.3, А39.4, А39.5, А39.8, А39.9</w:t>
            </w:r>
          </w:p>
        </w:tc>
      </w:tr>
      <w:tr>
        <w:tc>
          <w:tcPr>
            <w:tcW w:type="dxa" w:w="47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Сибирская язва</w:t>
            </w:r>
          </w:p>
        </w:tc>
        <w:tc>
          <w:tcPr>
            <w:tcW w:type="dxa" w:w="2487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А22: А22.0, А22.1, А22.2, А22.7, А22.8, А22.9</w:t>
            </w:r>
          </w:p>
        </w:tc>
      </w:tr>
      <w:tr>
        <w:tc>
          <w:tcPr>
            <w:tcW w:type="dxa" w:w="47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Бруцеллез</w:t>
            </w:r>
          </w:p>
        </w:tc>
        <w:tc>
          <w:tcPr>
            <w:tcW w:type="dxa" w:w="2487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А23: А23.0, А23.1, А23.2, А23.3, А23.8, А23.9</w:t>
            </w:r>
          </w:p>
        </w:tc>
      </w:tr>
      <w:tr>
        <w:tc>
          <w:tcPr>
            <w:tcW w:type="dxa" w:w="47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 и Мелиоидоз</w:t>
            </w:r>
          </w:p>
        </w:tc>
        <w:tc>
          <w:tcPr>
            <w:tcW w:type="dxa" w:w="2487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А24: А24.0, А24.1, А24.2, А24.3, А 24.4</w:t>
            </w:r>
          </w:p>
        </w:tc>
      </w:tr>
      <w:tr>
        <w:tc>
          <w:tcPr>
            <w:tcW w:type="dxa" w:w="47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Эпидемический сыпной тиф</w:t>
            </w:r>
          </w:p>
        </w:tc>
        <w:tc>
          <w:tcPr>
            <w:tcW w:type="dxa" w:w="2487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А75: А75.0, А75.1, А75.2, А75.3, А 7 5.9</w:t>
            </w:r>
          </w:p>
        </w:tc>
      </w:tr>
      <w:tr>
        <w:tc>
          <w:tcPr>
            <w:tcW w:type="dxa" w:w="472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single" w:color="CBBF9E" w:sz="4"/>
              <w:bottom w:val="none" w:color="auto" w:sz="0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Лихорадка Хунин, Мачупо</w:t>
            </w:r>
          </w:p>
        </w:tc>
        <w:tc>
          <w:tcPr>
            <w:tcW w:type="dxa" w:w="2487"/>
            <w:gridSpan w:val="2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А96.0; А96.1</w:t>
            </w:r>
          </w:p>
        </w:tc>
      </w:tr>
      <w:tr>
        <w:tc>
          <w:tcPr>
            <w:tcW w:type="dxa" w:w="47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7218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инфекционные болезни, вызывающие в соответствии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приложением 2 к ММСГ1 чрезвычайные ситуации в области общественного здравоохранения, имеющие международное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значение</w:t>
            </w:r>
          </w:p>
        </w:tc>
        <w:tc>
          <w:tcPr>
            <w:tcW w:type="dxa" w:w="2487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9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*Коды болезней соответствуют Международной статистической классификации болезней и проблем, связанных со здоровьем.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*Чрезвычайная ситуация определена при регистрации каждого случая заболеваний но пунктам 1-4, по остальным пунктам - после оценки в пределах каждого государства - участника настоящего Соглашения в соответствии е приложением 2 к ММСТ1.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lcyriipaoltxjannu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dalil.kg/document/218528</w:t>
      </w:r>
    </w:hyperlink>
  </w:p>
  <w:p>
    <w:pPr>
      <w:spacing w:after="0" w:before="40"/>
      <w:jc w:val="center"/>
    </w:pPr>
    <w:hyperlink w:history="1" r:id="rId5zsxux7lhblxoyvmvn3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e2-hts2h0ta7tzkifsl" Type="http://schemas.openxmlformats.org/officeDocument/2006/relationships/hyperlink" Target="https://dalil.kg/document/218528#pr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lcyriipaoltxjannux0" Type="http://schemas.openxmlformats.org/officeDocument/2006/relationships/hyperlink" Target="https://dalil.kg/document/218528" TargetMode="External"/><Relationship Id="rId5zsxux7lhblxoyvmvn3m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2026-10-01T06:28:05.307Z</dcterms:created>
  <dcterms:modified xsi:type="dcterms:W3CDTF">2026-10-01T06:28:05.307Z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