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мая 2021 года № 124-р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социально-экономических проектов, в соответствии со статьями </w:t>
      </w:r>
      <w:hyperlink w:history="1" r:id="rIdqd40btjgmngcv-tkdpjw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mepkuudut74gdq1ulln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Республики, статьями </w:t>
      </w:r>
      <w:hyperlink w:history="1" r:id="rId1_aanolrfyhilig3atr5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wnmeconfak_dd4__ekc1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8jjscvzrmsaew_qafaox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 января 2021 года № 11-р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md90_lwayfluim6sgk48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объектов строительства и реконструкции, финансируемых из республиканского бюджета на 2021 год, утвержденный вышеуказанным распоряжением, изложить в редакции согласно </w:t>
      </w:r>
      <w:hyperlink w:history="1" r:id="rIdktqnqanstkrh1_j2vq6m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распоряжению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Приложение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hyperlink w:history="1" r:id="rIdy6etqjb5y7cwyazydamca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"Приложение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ПЕРЕЧЕНЬ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объектов строительства и реконструкции, финансируемых из республиканского бюджета на 2021 год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2"/>
          <w:szCs w:val="22"/>
        </w:rPr>
        <w:t xml:space="preserve">тыс. сомов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4"/>
        <w:gridCol w:w="2453"/>
        <w:gridCol w:w="1044"/>
        <w:gridCol w:w="1435"/>
        <w:gridCol w:w="1095"/>
        <w:gridCol w:w="800"/>
        <w:gridCol w:w="994"/>
        <w:gridCol w:w="943"/>
        <w:gridCol w:w="1059"/>
      </w:tblGrid>
      <w:tr>
        <w:tc>
          <w:tcPr>
            <w:tcW w:type="dxa" w:w="3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
 п/п</w:t>
            </w:r>
          </w:p>
        </w:tc>
        <w:tc>
          <w:tcPr>
            <w:tcW w:type="dxa" w:w="24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Наименование объекта</w:t>
            </w:r>
          </w:p>
        </w:tc>
        <w:tc>
          <w:tcPr>
            <w:tcW w:type="dxa" w:w="10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Стоимость объекта со всеми расходами</w:t>
            </w:r>
          </w:p>
        </w:tc>
        <w:tc>
          <w:tcPr>
            <w:tcW w:type="dxa" w:w="14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Финансирование с начала строительства</w:t>
            </w:r>
          </w:p>
        </w:tc>
        <w:tc>
          <w:tcPr>
            <w:tcW w:type="dxa" w:w="10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Потребность на завершение</w:t>
            </w:r>
          </w:p>
        </w:tc>
        <w:tc>
          <w:tcPr>
            <w:tcW w:type="dxa" w:w="8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План на 2021 г.</w:t>
            </w:r>
          </w:p>
        </w:tc>
        <w:tc>
          <w:tcPr>
            <w:tcW w:type="dxa" w:w="9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Уменьшение</w:t>
            </w:r>
          </w:p>
        </w:tc>
        <w:tc>
          <w:tcPr>
            <w:tcW w:type="dxa" w:w="9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Увеличение</w:t>
            </w:r>
          </w:p>
        </w:tc>
        <w:tc>
          <w:tcPr>
            <w:tcW w:type="dxa" w:w="10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Уточненный план на 2021 г.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Всего по республике: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3000000,0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500000,0</w:t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3500000,0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2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Департамент жилищно-гражданского строительства при Министерстве транспорта, архитектуры, строительства и коммуникаций Кыргызской Республики (социальные объекты) (согласно приложению 1)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1085600,0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1085600,0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2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Капитальный ремонт объектов (согласно приложению 2)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90000,0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90000,0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2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Водоснабжение (согласно приложению 3)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200000,0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200000,0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2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Строительство школ за счет Единого депозитного счета (согласно приложению 4)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225000,0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225000,0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2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Департамент дорожного хозяйства при Министерстве транспорта, архитектуры, строительства и коммуникаций Кыргызской Республики (согласно приложению 5)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800000,0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800000,0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2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Государственное агентство водных ресурсов при Министерстве сельского, водного хозяйства и развития регионов Кыргызской Республики (ирригация) (согласно приложению 6)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250000,0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250000,0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2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Департамент питьевого водоснабжения Министерства транспорта, архитектуры, строительства и коммуникаций Кыргызской Республики (согласно приложению 7)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200000,0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200000,0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W w:type="dxa" w:w="2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Восстановление объектов социального и хозяйственного назначения в Баткенской области, разрушенных во время вооруженного конфликта на кыргызско-таджикской государственной границе (согласно приложению 8)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500000,0</w:t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500000,0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</w:t>
            </w:r>
          </w:p>
        </w:tc>
        <w:tc>
          <w:tcPr>
            <w:tcW w:type="dxa" w:w="2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Пограничная служба Государственного комитета национальной безопасности Кыргызской Республики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52400,0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52400,0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1) проектирование и строительство комплекса пункта пропуска "Ак-Жол автодорожный"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50000,0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50000,0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2) проектирование и строительство комплекса пограничной заставы "Кайрагач"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1200,0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1200,0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3) проектирование и строительство комплекса пограничной заставы "Булак-Башы"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1200,0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1200,0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2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Государственный комитет национальной безопасности Кыргызской Республики (строительство здания Таласского управления Государственного комитета национальной безопасности Кыргызской Республики)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5000,0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5000,0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</w:t>
            </w:r>
          </w:p>
        </w:tc>
        <w:tc>
          <w:tcPr>
            <w:tcW w:type="dxa" w:w="2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Министерство внутренних дел Кыргызской Республики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25000,0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25000.0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</w:t>
            </w:r>
          </w:p>
        </w:tc>
        <w:tc>
          <w:tcPr>
            <w:tcW w:type="dxa" w:w="2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Министерство обороны Кыргызской Республики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2000,0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2000,0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</w:t>
            </w:r>
          </w:p>
        </w:tc>
        <w:tc>
          <w:tcPr>
            <w:tcW w:type="dxa" w:w="2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Мэрия города Ош (Управление капитального строительства города Ош)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50000,0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50000,0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1) Строительство школы № 3 им.М.Ломоносова на 500 ученических мест (г.Ош)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45000,0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42688,5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2311,5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1000,0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1000,0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2) Строительство школы по ул.С.Айни в мкр. "Амир-Темур" на 625 ученических мест (г.Ош)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147807,7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39661,3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108146,4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15000,0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15000,0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3) Строительство школы на 275 ученических мест, муниципальное территориальное управление "Курманжан-Датка" (мэрия г.Ош)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60977,8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42248,8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28729,0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10000,0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10000,0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4) Строительство школы по ул.Ирригатор на 275 ученических мест (г.Ош)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54233,0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47445,5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16787,5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4000,0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4000,0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5) Водоснабжение, Жапалакское территориальное управление сел г.Ош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150000,0</w:t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0,0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150000,0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20000,0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20000,0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</w:t>
            </w:r>
          </w:p>
        </w:tc>
        <w:tc>
          <w:tcPr>
            <w:tcW w:type="dxa" w:w="2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Архивное агентство при Министерстве юстиции Кыргызской Республики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5000,0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5000,0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</w:t>
            </w:r>
          </w:p>
        </w:tc>
        <w:tc>
          <w:tcPr>
            <w:tcW w:type="dxa" w:w="2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Министерство сельского, водного хозяйства и развития регионов Кыргызской Республики (фитосанитарные лаборатории)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5000,0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5000,0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</w:t>
            </w:r>
          </w:p>
        </w:tc>
        <w:tc>
          <w:tcPr>
            <w:tcW w:type="dxa" w:w="2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Министерство юстиции Кыргызской Республики (строительство зданий органов пробации)</w:t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5000,0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5000,0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Примечание: приложения 1-8 к настоящему </w:t>
      </w:r>
      <w:r>
        <w:rPr>
          <w:rFonts w:ascii="Arial" w:cs="Arial" w:eastAsia="Arial" w:hAnsi="Arial"/>
          <w:sz w:val="22"/>
          <w:szCs w:val="22"/>
        </w:rPr>
        <w:t xml:space="preserve">Перечню согласовываются Премьер-министром Кыргызской Республики и утверждаются вице-премьер-министром - министром экономики и финансов Кыргызской Республики.".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svq6aglpb2phybr3r8j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dalil.kg/document/218558</w:t>
      </w:r>
    </w:hyperlink>
  </w:p>
  <w:p>
    <w:pPr>
      <w:spacing w:after="0" w:before="40"/>
      <w:jc w:val="center"/>
    </w:pPr>
    <w:hyperlink w:history="1" r:id="rIdzmx0x0bu1b4pelow6ohz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d40btjgmngcv-tkdpjwj" Type="http://schemas.openxmlformats.org/officeDocument/2006/relationships/hyperlink" Target="https://dalil.kg/document/111338#st_28" TargetMode="External"/><Relationship Id="rIdmepkuudut74gdq1ullnwe" Type="http://schemas.openxmlformats.org/officeDocument/2006/relationships/hyperlink" Target="https://dalil.kg/document/111338#st_29" TargetMode="External"/><Relationship Id="rId1_aanolrfyhilig3atr5y" Type="http://schemas.openxmlformats.org/officeDocument/2006/relationships/hyperlink" Target="https://dalil.kg/document/203685#st_10" TargetMode="External"/><Relationship Id="rIdwnmeconfak_dd4__ekc1p" Type="http://schemas.openxmlformats.org/officeDocument/2006/relationships/hyperlink" Target="https://dalil.kg/document/203685#st_17" TargetMode="External"/><Relationship Id="rId8jjscvzrmsaew_qafaox-" Type="http://schemas.openxmlformats.org/officeDocument/2006/relationships/hyperlink" Target="https://dalil.kg/document/218417" TargetMode="External"/><Relationship Id="rIdmd90_lwayfluim6sgk48a" Type="http://schemas.openxmlformats.org/officeDocument/2006/relationships/hyperlink" Target="https://dalil.kg/document/218417#pr" TargetMode="External"/><Relationship Id="rIdktqnqanstkrh1_j2vq6mv" Type="http://schemas.openxmlformats.org/officeDocument/2006/relationships/hyperlink" Target="https://dalil.kg/document/218558#pr" TargetMode="External"/><Relationship Id="rIdy6etqjb5y7cwyazydamca" Type="http://schemas.openxmlformats.org/officeDocument/2006/relationships/hyperlink" Target="https://dalil.kg/document/218417#pr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svq6aglpb2phybr3r8jj" Type="http://schemas.openxmlformats.org/officeDocument/2006/relationships/hyperlink" Target="https://dalil.kg/document/218558" TargetMode="External"/><Relationship Id="rIdzmx0x0bu1b4pelow6ohz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2026-09-30T21:54:19.469Z</dcterms:created>
  <dcterms:modified xsi:type="dcterms:W3CDTF">2026-09-30T21:54:19.469Z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