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42-р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_cq4pn1z9on1301w3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проведения внутригосударственных процедур: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5mgla3ula8mrjryw5f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Международной конвенции</w:t>
      </w:r>
      <w:r>
        <w:rPr>
          <w:rFonts w:ascii="Arial" w:cs="Arial" w:eastAsia="Arial" w:hAnsi="Arial"/>
          <w:sz w:val="24"/>
          <w:szCs w:val="24"/>
        </w:rPr>
        <w:t xml:space="preserve"> об упрощении и гармонизации таможенных процедур от 18 мая 1973 года (в редакции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Международную конвенцию об упрощении и гармонизации таможенных процедур от 26 июня 1999 года).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и финансов Кыргызской Республики органом, ответственным за реализацию указанной Конвенции.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15 июня 2021 года № 42-р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к Международной конвенции об упрощении и гармонизации таможенных процедур от 18 мая 1973 года (в редакции Протокола о внесении изменений в Международную конвенцию об упрощении и гармонизации таможенных процедур от 26 июня 1999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Международная конвенция</w:t>
      </w:r>
      <w:r>
        <w:rPr>
          <w:rFonts w:ascii="Arial" w:cs="Arial" w:eastAsia="Arial" w:hAnsi="Arial"/>
          <w:sz w:val="20"/>
          <w:szCs w:val="20"/>
        </w:rPr>
        <w:t xml:space="preserve"> об упрощении и гармонизации таможенных процедур (далее - Конвенция) подписана в городе Киото в 1973 году. В 1999 году, в Брюсселе, Всемирной таможенной организацией была одобрена новая редакция Конвенции, которая вступила в силу 3 февраля 2006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Конвенция</w:t>
      </w:r>
      <w:r>
        <w:rPr>
          <w:rFonts w:ascii="Arial" w:cs="Arial" w:eastAsia="Arial" w:hAnsi="Arial"/>
          <w:sz w:val="20"/>
          <w:szCs w:val="20"/>
        </w:rPr>
        <w:t xml:space="preserve"> является основным таможенным документом в области упрощения таможенных процедур и направлена на стимулирование внешнеторговой деятельности путем введения единых подходов по вопросам таможенного регулирования, а также на упрощение и ускорение таможенных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 состоит из основного текста Конвенции, Генерального приложения, которые обязательны для присоединения, и Специальных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r>
        <w:rPr>
          <w:rFonts w:ascii="Arial" w:cs="Arial" w:eastAsia="Arial" w:hAnsi="Arial"/>
          <w:sz w:val="20"/>
          <w:szCs w:val="20"/>
        </w:rPr>
        <w:t xml:space="preserve">статье 12</w:t>
      </w:r>
      <w:r>
        <w:rPr>
          <w:rFonts w:ascii="Arial" w:cs="Arial" w:eastAsia="Arial" w:hAnsi="Arial"/>
          <w:sz w:val="20"/>
          <w:szCs w:val="20"/>
        </w:rPr>
        <w:t xml:space="preserve"> Конвенции, все договаривающиеся стороны Конвенции соглашаются на обязательность Генерального приложения. При этом, договаривающаяся Сторона может принять обязательность одного или более Специальных приложений по своему усмотрению.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настоящее время договаривающимися Сторонами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 являются 120 государств. Из числа государств-членов Евразийского экономического союза к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 присоединены Республика Армения (с 19.07.2013), Республика Беларусь (с 10.01.2011), Республика Казахстан (с 19.06.2009) и Российская Федерация (с 04.04.2011).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отметить, что при сопоставлении положений Генерального приложения с положениями Таможенного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Евразийского экономического союза и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таможенном регулировании" выявлено, что концептуальных расхождений между ними нет. Основные принципы, изложенные в Генеральном приложении, отражены в Таможенном </w:t>
      </w:r>
      <w:r>
        <w:rPr>
          <w:rFonts w:ascii="Arial" w:cs="Arial" w:eastAsia="Arial" w:hAnsi="Arial"/>
          <w:sz w:val="20"/>
          <w:szCs w:val="20"/>
        </w:rPr>
        <w:t xml:space="preserve">кодексе</w:t>
      </w:r>
      <w:r>
        <w:rPr>
          <w:rFonts w:ascii="Arial" w:cs="Arial" w:eastAsia="Arial" w:hAnsi="Arial"/>
          <w:sz w:val="20"/>
          <w:szCs w:val="20"/>
        </w:rPr>
        <w:t xml:space="preserve"> Евразийского экономического союза и </w:t>
      </w:r>
      <w:r>
        <w:rPr>
          <w:rFonts w:ascii="Arial" w:cs="Arial" w:eastAsia="Arial" w:hAnsi="Arial"/>
          <w:sz w:val="20"/>
          <w:szCs w:val="20"/>
        </w:rPr>
        <w:t xml:space="preserve">Законе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таможенном регулировании".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Присоединение Кыргызской Республики к Конвенции и Генеральному приложению влечет за собой реализацию мероприятий в сфере таможенного дела, в части вопросов декларирования, обжалования действий (бездействия) таможенных органов с учетом Стандартов Генерального приложения. Следует отметить, что данные мероприятия уже находятся в стадии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 образом, присоединение к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 позволит Кыргызской Республике совершенствовать таможенное регулирование, в том числе путем упрощения и ускорения таможенных процедур, применения современных методов таможенного контроля, максимально широкого использования информационных технологий, а также обеспечить соблюдение на практике соответствующих международных стандартов и беспрепятственный доступ к процедурам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Принимая во внимание вышеотмеченное, учитывая, что </w:t>
      </w:r>
      <w:r>
        <w:rPr>
          <w:rFonts w:ascii="Arial" w:cs="Arial" w:eastAsia="Arial" w:hAnsi="Arial"/>
          <w:sz w:val="20"/>
          <w:szCs w:val="20"/>
        </w:rPr>
        <w:t xml:space="preserve">Конвенция</w:t>
      </w:r>
      <w:r>
        <w:rPr>
          <w:rFonts w:ascii="Arial" w:cs="Arial" w:eastAsia="Arial" w:hAnsi="Arial"/>
          <w:sz w:val="20"/>
          <w:szCs w:val="20"/>
        </w:rPr>
        <w:t xml:space="preserve"> является международным стандартом, в соответствии с которым большинство таможенных администраций в мире разрабатывают национальное таможенное законодательство, в котором содержатся обязательные положения, касающиеся реализации самых современных принципов и практик в области совершения таможенных операций, в целях обеспечения совершенствования таможенного регулирования предлагается присоединиться к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, без принятия обязательств по Специальным приложениям к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Конвенция</w:t>
      </w:r>
      <w:r>
        <w:rPr>
          <w:rFonts w:ascii="Arial" w:cs="Arial" w:eastAsia="Arial" w:hAnsi="Arial"/>
          <w:sz w:val="20"/>
          <w:szCs w:val="20"/>
        </w:rPr>
        <w:t xml:space="preserve"> соответствует нормам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 с вышеизложенным сообщаем, что присоединение к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 не повлечет каких-либо негативных социальных, финансово-экономических,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мероприятий в рамках вступления в силу </w:t>
      </w:r>
      <w:r>
        <w:rPr>
          <w:rFonts w:ascii="Arial" w:cs="Arial" w:eastAsia="Arial" w:hAnsi="Arial"/>
          <w:sz w:val="20"/>
          <w:szCs w:val="20"/>
        </w:rPr>
        <w:t xml:space="preserve">Конвенции</w:t>
      </w:r>
      <w:r>
        <w:rPr>
          <w:rFonts w:ascii="Arial" w:cs="Arial" w:eastAsia="Arial" w:hAnsi="Arial"/>
          <w:sz w:val="20"/>
          <w:szCs w:val="20"/>
        </w:rPr>
        <w:t xml:space="preserve"> будет осуществляться в пределах средств, предусмотренных в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_nesvirrh78xvn680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dalil.kg/document/218573</w:t>
      </w:r>
    </w:hyperlink>
  </w:p>
  <w:p>
    <w:pPr>
      <w:spacing w:after="0" w:before="40"/>
      <w:jc w:val="center"/>
    </w:pPr>
    <w:hyperlink w:history="1" r:id="rIdpwa0p_bwhmvnjwe4pvh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cq4pn1z9on1301w3nyy" Type="http://schemas.openxmlformats.org/officeDocument/2006/relationships/hyperlink" Target="https://dalil.kg/document/203166#st_68" TargetMode="External"/><Relationship Id="rIdt5mgla3ula8mrjryw5fly" Type="http://schemas.openxmlformats.org/officeDocument/2006/relationships/hyperlink" Target="https://dalil.kg/document/21857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_nesvirrh78xvn680hx" Type="http://schemas.openxmlformats.org/officeDocument/2006/relationships/hyperlink" Target="https://dalil.kg/document/218573" TargetMode="External"/><Relationship Id="rIdpwa0p_bwhmvnjwe4pvh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2026-10-01T05:21:20.100Z</dcterms:created>
  <dcterms:modified xsi:type="dcterms:W3CDTF">2026-10-01T05:21:20.100Z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