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xzhmxyg3tcvnvleeoh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(Программа продвижения экономической диверсификации - подпрограмма 2) между Кыргызской Республикой и Азиатским банком развития согласно </w:t>
      </w:r>
      <w:hyperlink w:history="1" r:id="rIdeh-5otvvlcq5tifrj8e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pjokovfgwiegvnvkbaa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(Программа продвижения экономической диверсификации - подпрограмма 2) между Кыргызской Республикой и Азиатским банком развития согласно </w:t>
      </w:r>
      <w:hyperlink w:history="1" r:id="rId2cwfmht7afjsw9limiz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- министра экономики и финансов Кыргызской Республики на подписание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от ____________________ 2021 года между Кыргызской Республикой ("Заемщик") и Азиатским банком развития (далее - 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Заемщика письмо о политике развития от 4 мая 2021 года ("Письмо о политике"), в котором излагаются определенные цели, политика и действия, как описано в Приложении 1 к настоящему Кредитному соглашению для подготовки Программы продвижения экономической диверсификации Заемщика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вторую подпрограмму программного подхода, как описано в пункте 1 Приложения 1 настоящего Кредитного соглашения, ("Программный подход"), и Заемщик обратился в АБР с просьбой о предоставлении кредита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В соответствии с грантовым соглашением между Заемщиком и АБР ("Грантовое соглашение"), АБР согласился предоставить грант Заемщику из ресурсов Специальных фондов АБР на сумму десяти миллионов и семи ста тысяч долларов США ($ 10700000) ("Грант") для целей финансирования расходов в рамках Программы;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льготный кредит Заемщику из обычных капитальных ресурсов АБР на условиях, изложенных в настоящем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Положения о кредитах.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условия Положения о кредитах для Специальных (льготных) операций АБР от 1 января 2017 года ("Положения о кредитах") настоящим применяются к данному Кредитному соглашению в той же силе и в том же объеме,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2.01. Подраздел (v)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дал согласие на выдачу кредита, как описано в Кредитном соглашении и ее описание, может периодически меняться по соглашению между Заемщиком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"Проект", по всему тексту Положений о кредитах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2.01. Подраздел (х)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выполнение Программы, согласно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везде по тексту Положений о кредитах следует заменить термином "Исполнительное агентство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5.01. Подраздел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утратил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 настоящем Кредитном соглашении используются несколько определений, которые приведены в Положениях о кредитах, они имеют соответствующие значения, если они не сформулированы иначе в настоящем Соглашении, либо если контекст не требует иного толкования. Дополнительные термины, используемые в настоящем Кредитном соглашении: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"Средства со-финансирования" - местная валюта, полученная из Кредитных и/или Грантовых средств по Программе и упомянутых в пункте 4 Приложения 4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"Депозитный счет" - счет, указанный в пункте 3 Приложения 3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"Справочник по расходованию кредитных средств" - Справочник по расходованию кредитных средств АБР (2017, со всеми последующими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"Минэкономфин" означает Министерство экономики и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"НБКР" означает Национальный банк Кыргызской Республики или любого его правопреемника;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f</w:t>
      </w:r>
      <w:r>
        <w:rPr>
          <w:rFonts w:ascii="Arial" w:cs="Arial" w:eastAsia="Arial" w:hAnsi="Arial"/>
          <w:sz w:val="24"/>
          <w:szCs w:val="24"/>
        </w:rPr>
        <w:t xml:space="preserve">) "Матрица политики действий" означает матрицу политики действий, согласованную между Заемщиком и АБР, которая устанавливает реформы, выполненные или подлежащие выполнению Заемщиком в рамках Программы, и прилагается к Письму о политике;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(g) "Исполнительное агентство Программы" для целей и в рамках значения Положений о кредитах означает Минэкономфин или любого его преемника, приемлемого для АБР, который отвечает за выполнение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кредит Заемщику из обычных капитальных ресурсов АБР в сумме шестидесяти девяти миллионов трехсот тысяч долларов США ($ 69,300,000).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16 лет, льготный период определен в подразделе (с)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используемый в подразделе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выше, означает период, предшествующий наступлению Даты первой выплаты в счет погашения основной суммы кредита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должен выплатить АБР проценты, подлежащие уплате в размере 1% в год в течение льготного периода, и 1,5% в год после этого, от суммы кредита, снятой со счета Кредита и непогашенного остатка к тому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Начисляемые проценты и любые другие виды выплат по Кредиту выплачиваются раз в полгода, 15 апреля и 15 октября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должен погасить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2.05. Валютой погашения основной суммы Кредита и валютой выплаты процентов для целей Разделов 4.03 (а) и 4.04 Положений о кредитах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предпримет меры для того, чтобы средства Кредита были применены исключительно для финансирования расходов по Программе, в соответствии с положениями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Кредитные средства должны распределяться и изыматься в соответствии с условиями Приложения 3 к данному Кредитному соглашению, поскольку это Приложение, как таковое, может быть изменено или дополнено в случае необходимости, по соглашению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Кредита для целей Раздела 8.02 Положений о кредитах является 31 декабря 2021 года или иная такая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Программы, Заемщик выполнит или обеспечит выполнение всех обязательств, излагаемых в Приложении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качестве составляющей информации, упомянутой в Разделе 6.05 Положений о кредитах, Заемщик предоставляет или будет обязан предоставить в АБР все отчеты и информацию, которые АБР сочтет нужным затребовать, о ходе реализации Программы, включая достижение целей и меры, изложенные в Письме о политике.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Приостановление; Досрочное погашение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Заемщика совершать изъятие средств со счета Кредита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Положений о кредитах: при неспособности Заемщика выполнить любое из его обязательств в рамках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Следующее определено в качестве дополнительного события для досрочного взыскания для целей раздела 8.07(d) Положений о кредитах: если событие, определенное в Разделе 5.01 имеет место быть.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события для вступления в силу настоящего Кредитного соглашения для целей, указанных в Разделе 9.01(f) Положений о кредитах: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a) (i) Заемщик выполнил все условия матрицы политики действий для выделения транша, и (ii) условия матрицы политики действий остаются в силе;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b) Подписание и доставка Грантового соглашения от имени Заемщика должны быть надлежащим образом уполномочены или ратифицированы, и все условия, предшествующие его эффективности (кроме условия, требующего вступления в силу настоящего Кредитного соглашения)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события для вступления в силу настоящего Кредитного соглашения для целей, указанных в Разделе 9.02(d) Положений о кредитах, нижеследующие требования должны быть включены в заключение или заключения, представляемые в АБР: что Грантовое соглашение было надлежащим образом уполномочено или ратифицировано и подписано и доставлено от имени Получателя и является юридически обязательным для Получателя в соответствии с его условиями, и только при условии вступления в силу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кредитах, для вступления в силу настоящего Кредитного соглашения устанавливается срок в 90 дней со дня заключения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экономики и финансов Заемщика назначается представителем Заемщика для целей Раздела 11.02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кредитах: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720040, 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Asian Development Bank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 Mandaluyong City 1550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Metro Manila Philippines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(632) 636-2444/(632) 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доказательства, стороны настоящего Соглашения, действуя должным образом через уполномоченных представителей, поставили свои подписи под настоящим Кредитным соглашением в указанные выше день и год, и доставили настоящее Кредитное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цель программного подхода состоит в том, чтобы постепенно диверсифицировать экономику Заемщика от использования природных ресурсов и потребления за счет денежных переводов, и включает в себя следующие направления (а) повышение торговой и инвестиционной конкурентоспособности, (б) развитие малых и средних предприятий, (в) развитие государственно-частного партнерства, (d) развитие профессиональных навыков, связанных с отраслями, и (е) повышение устойчивой финансовой и социальной защиты для обеспечения стабилизации и восстановления после коронавирусной болезни. Программный подход состоит из 3 подпрограмм, и Программа является второй подпрограммой. Программа более подробно описана в Письме о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Завершение Программы ожидается к 31 декабря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График погашения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причитающегося платежа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Погашение основной суммы (выраженная в долларах США)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2029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2,165,629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2035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2035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2036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2036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2,165,639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2037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2037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2038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2038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2039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2039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2040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2,165,647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2,165,648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2041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2,165,649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2042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2,165,651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2,165,652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2043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2,165,653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2,165,654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октября 2044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апреля 2045 года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2,165,656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69,300,000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Договоренности о выплатах при наступлении каждого срока погашения заключаются в соответствии с положениями Разделов 3.04 и 4.03 Положений о кредитах.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Снятие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предусмотренных в настоящем Приложении или в отсутствие иных договоренностей с АБР, средства Кредита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должен представить в АБР заявку на снятие средств со счета Кредита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для снятия средств со счета Кредита, Заемщик должен открыть счет (Депозитный счет Кредита) в НБКР, на который должны быть зачислены все средства Счета Кредита. Депозитный счет Кредита открывается, управляется и ликвидируется в соответствии с применимыми правилами и процедурами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Кредита должны вестись в соответствии с принципами бухгалтерского учета, приемлемыми для АБР. По запросу АБР Заемщик должен иметь финансовые отчеты по Депозитному счету Кредита, проверенные независимыми аудиторами, чья квалификация, опыт и круг полномочий приемлемы для АБР, в соответствии с международными стандартами аудита или национальным эквивалентом, приемлемым для АБР. Незамедлительно после их подготовки, но в любом случае не позднее, чем через 6 месяцев после даты запроса АБР, копии таких проверенных финансовых отчетов и заключение аудиторов о финансовых отчетах на английском языке должны быть предоставлены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Никакие кредитные средства не могут быть сняты со счета для финансирования любого товара, указанного в Дополнении к настоящему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 может приступить к снятию кредитных средств после вступления настоящего Кредитного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Дополнение
 к Приложению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расходов, связанных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Получателя: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Неправомочные статьи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1490"/>
        <w:gridCol w:w="7731"/>
      </w:tblGrid>
      <w:tr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 обработанные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детали; тепловыделяющие элементы (кассеты), необлученные, для ядерных реакторов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проекту Кредитного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Минэкономфин будет Исполнительным агентством программы и реализующим агентством программы заемщика. Заемщик через Исполнительное агентство (государственные органы, исполнившие "матрицу политики действий") программы и исполнительные агентства несет ответственность за реализацию Программы, включая мониторинг и отчетность по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Политические меры и диалог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должен обеспечить, чтобы все меры политики, принятые в рамках Программы, как изложено в Письме о политике и Матрице политики действий, оставались в силе в течение всего периода действия Программного подхода.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средств со-финансирования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должен обеспечить использование средств со-финансирования для финансирования реализации определенных программ и мероприятий в соответствии с целями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противодействие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Заемщик, Исполнительное агентство программы и исполнительные агентства должны (а) соблюдать Антикоррупционную политику АБР (1998 г., со всеми изменениями и дополнениями) и признать, что АБР оставляет за собой право проводить расследование напрямую или через своих агентов в отношении любых предполагаемых коррупционных и мошеннических действий, сговор или принуждение в отношении Программы;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любым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обзор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 должен обеспечить, чтобы отчет о воздействии Программы после ее завершения был предоставлен Исполнительным агентством в АБР. Исполнительное агентство программы должно, по мере необходимости, проводить консультационные встречи с заинтересованными сторонами и партнерами по развитию, чтобы получить их отзывы о новых нормативных актах и воздействии программного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 и АБР должны совместно оценить воздействие и оценить преимущества Программы в течение 12 месяцев с Даты вступления в силу, в соответствии с системой оценки эффективности управления АБР. Заемщик и АБР могут использовать результаты такой оценки и использовать для целей доработки Программного подхода.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Заемщик должен подготовить и представить в АБР полугодовые консолидированные отчеты о ходе реализации политики и институциональных реформ в рамках Программного подхода, а также о любых изменениях в графике реализации, а также выявлять любые возникшие проблемы и предпринятые меры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________________________ между Кыргызской Республикой ("Получатель")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Получатель обратился в АБР с письмом о политике развития от 4 мая 2021 года ("Письмо о политике"), определяющее цели, политику и действия, описанные в Приложении 1 Кредитного соглашения (как описано ниже), которое было разработано с целью подготовки Программы продвижения экономической диверсификации в стране Получателя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вторую подпрограмму программного подхода, как описано в пункте 1 Приложения 1 Кредитного соглашения, (как определено ниже) ("Программный подход"), и Получатель обратился в АБР с просьбой о предоставлении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Путем заключения кредитного соглашения между Получателем и АБР ("Кредитное соглашение"), АБР согласился предоставить Получателю льготный кредит из обычных капитальных ресурсов АБР в размере шестидесяти девяти миллионов трехсот тысяч долларов (69300000 долларов США) для целей Программы ("Кредит");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грант Получателю из ресурсов Специальных фондов АБР на условиях и положениях, сформулированных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Положения о грантах.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о грантах для специальных операций АБР, от 1 января 2017 г. ("Положения о грантах"), применимы к данному Грантовому соглашению в той же силе и том же объеме,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2.01. Подраздел (I)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"Программа" означает программу, для которой АБР согласился выделить Грант, как изложено в Грантовом соглашении, а его содержание может периодически меняться по согласованию между АБР и Получателем.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 по всему тексту Положений о грантах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2.01. Подраздел 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 "Исполнительное агентство Программы" означает организацию или организации, ответственные за выполнение Программы, как указано в Грантовом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по всему тексту Положений о грантах заменить термином "Исполнительное агентство Программы".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5.01. Подраздел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утратил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 настоящем Грантовом соглашении используются несколько определений, которые приведены в Положениях о грантах и имеют соответствующие значения в Кредитном соглашении, если они не сформулированы иначе в настоящем Соглашении, либо если контекст не требует иного толкования. Дополнительные термины, изложенные в Грантовом соглашении, имеют следующее значение: "Депозитный счет" означает счет в НБКР, на который будут зачисляться все средства для снятия с Грантового счета, указанный в пункте 3 Приложения 2 к настоящему Грантовому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АБР согласен предоставить Получателю средства из Специальных фондов АБР в размере десяти миллионов семи ста тысяч долларов США (10700000 долл. США) на срок и на условиях, изложенных в данном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обязан обеспечить использование средств Гранта на финансирование расходов по Программе в соответствии с положениями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Средства гранта должны сниматься в соответствии с положениями Приложения к настоящему Грантовому соглашению, а в само Приложение могут периодически вноситься поправки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гранта для целей Раздела 8.02 Положений о грантах является [31 декабря 2021 года] или другая такая дата, которая на соответствующий момент может быть согласована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При выполнении Программы Получатель должен исполнить или обеспечить исполнение всех обязательств, изложенных в Приложении 4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упомянутых в Разделе 6.04 Положений о грантах, Получатель обязуется представлять, либо обеспечить представление АБР всех отчетов и информации, которую обоснованно потребует АБР о выполнении Программы, в том числе, о достижении целевых показателей и проведении мер, изложенных в Письме о политике развития.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Заемщика совершать изъятие средств со счета Гранта для целей, указанных в Разделе 8.01(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Положений о грантах или аннулирование Гранта в соответствии с Разделом 8.02 Положений о грантах: Кредит по Кредитному соглашению подлежит приостановке или аннулированию, или подлежит погашению до согласованной даты погашения.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дополнительного события для вступления в силу настоящего Грантового соглашения для целей, указанных в Разделе 9.01(e) Положений о грантах: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(i) Получатель выполнил все условия матрицы политики действий для выделения транша, и (ii) условия матрицы политики действий остаются в силе;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Подписание и доставка Кредитного соглашения от имени Заемщика должны быть надлежащим образом уполномочены или ратифицированы, и все условия, предшествующие его эффективности (кроме условия, требующего вступления в силу настоящего Грантового соглашения)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события для целей, указанных в Разделе 9.02(c) Положений о грантах, нижеследующие требования должны быть включены в заключение или заключения, представляемые в АБР: что Кредитное соглашение было надлежащим образом уполномочено или ратифицировано и подписано и доставлено от имени Заемщика и является юридически обязательным для Заемщика в соответствии с его условиями, и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Положений о грантах, для вступления в силу настоящего Грантового соглашения устанавливается срок в 90 дней со дня заключения настоящего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Для целей Раздела 11.02 Положений о грантах представителем Получателя назначается Министр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Положений о грантах: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720040, Кыргызская Республика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Asian Development Bank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 Mandaluyong City 1550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Metro Manila Philippines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(632) 636-2444/(632) 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доказательства, стороны настоящего Соглашения, действуя должным образом через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[Фамилия, 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проекту Грантового соглашения (Программа продвижения экономической диверсификации - подпрограмма 2) между Кыргызской Республикой и Азиатским банком развития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грантовых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указанных в настоящем Приложении или в отсутствие иных договоренностей с АБР, средства Гранта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 Грантового счета должна быть представлена Получателем в АБР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в АБР первой заявки на снятие средств с Грантового счета Получатель должен указать счет (депозитный счет) в НБКР, на который будут зачисляться все средства для снятия с Грантового счета. Депозитный счет должен быть открыт, использоваться и закрыт в соответствии с условиями и процедурами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 отношении депозитного счета должен вестись отдельный учет и документация в соответствии с принципами бухгалтерского учета, приемлемыми для АБР. По требованию АБР Получатель должен обеспечить проверку финансовой отчетности по депозитному счету независимыми аудиторами, квалификация, опыт и техническое задание которых будут приемлемыми для АБР, в соответствии с международными стандартами аудита или эквивалентными национальными стандартами аудита, приемлемыми для АБР. Сразу после их подготовки, но в любом случае не позднее, чем через 6 месяцев после даты получения запроса АБР, копии таких проверенных аудиторами финансовых отчетов и заключений аудиторов в отношении финансовой отчетности на английском языке должны быть представлены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Грантовые средства не могут сниматься со счета и использоваться для финансирования любого из товаров, указанных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Получатель правомочен снимать средства Гранта после вступления данного Грантового соглашения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Дополнение
 к Приложению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Грантовые средства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расходов, связанных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Получателя: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Неправомочные статьи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8"/>
        <w:gridCol w:w="1419"/>
        <w:gridCol w:w="7841"/>
      </w:tblGrid>
      <w:tr>
        <w:tc>
          <w:tcPr>
            <w:tcW w:type="dxa" w:w="9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7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 обработанные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детали; тепловыделяющие элементы (кассеты), необлученные, для ядерных реакторов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Получателя или с международными соглашениями, к которым присоединился Получатель,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Получателем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gquygq2ngzyxngrjv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dalil.kg/document/218610</w:t>
      </w:r>
    </w:hyperlink>
  </w:p>
  <w:p>
    <w:pPr>
      <w:spacing w:after="0" w:before="40"/>
      <w:jc w:val="center"/>
    </w:pPr>
    <w:hyperlink w:history="1" r:id="rIdpb_aivxuo0m93khbkt9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xzhmxyg3tcvnvleeohbu" Type="http://schemas.openxmlformats.org/officeDocument/2006/relationships/hyperlink" Target="https://dalil.kg/document/218610#pr1" TargetMode="External"/><Relationship Id="rIdeh-5otvvlcq5tifrj8e7i" Type="http://schemas.openxmlformats.org/officeDocument/2006/relationships/hyperlink" Target="https://dalil.kg/document/218610#pr" TargetMode="External"/><Relationship Id="rIdpjokovfgwiegvnvkbaak8" Type="http://schemas.openxmlformats.org/officeDocument/2006/relationships/hyperlink" Target="https://dalil.kg/document/218610#p1" TargetMode="External"/><Relationship Id="rId2cwfmht7afjsw9limizix" Type="http://schemas.openxmlformats.org/officeDocument/2006/relationships/hyperlink" Target="https://dalil.kg/document/218610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gquygq2ngzyxngrjvyw" Type="http://schemas.openxmlformats.org/officeDocument/2006/relationships/hyperlink" Target="https://dalil.kg/document/218610" TargetMode="External"/><Relationship Id="rIdpb_aivxuo0m93khbkt9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2026-10-01T00:03:10.168Z</dcterms:created>
  <dcterms:modified xsi:type="dcterms:W3CDTF">2026-10-01T00:03:10.168Z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