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УТРАТИЛО СИЛУ
 в соответствии с </w:t>
      </w:r>
      <w:hyperlink w:history="1" r:id="rIdw54e45jqlassgzbhvcr7s">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28 июня 2024 года № 383-р</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b/>
          <w:bCs/>
          <w:sz w:val="32"/>
          <w:szCs w:val="32"/>
        </w:rPr>
        <w:t xml:space="preserve">П</w:t>
      </w:r>
      <w:r>
        <w:rPr>
          <w:rFonts w:ascii="Arial" w:cs="Arial" w:eastAsia="Arial" w:hAnsi="Arial"/>
          <w:b/>
          <w:bCs/>
          <w:sz w:val="32"/>
          <w:szCs w:val="32"/>
        </w:rPr>
        <w:t xml:space="preserve">РЕДСЕДАТЕЛЬ КАБИНЕТА МИНИСТРОВ </w:t>
      </w:r>
      <w:r>
        <w:rPr>
          <w:rFonts w:ascii="Arial" w:cs="Arial" w:eastAsia="Arial" w:hAnsi="Arial"/>
          <w:b/>
          <w:bCs/>
          <w:sz w:val="32"/>
          <w:szCs w:val="32"/>
        </w:rPr>
        <w:t xml:space="preserve">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480"/>
        <w:jc w:val="center"/>
      </w:pPr>
      <w:r>
        <w:rPr>
          <w:rFonts w:ascii="Arial" w:cs="Arial" w:eastAsia="Arial" w:hAnsi="Arial"/>
          <w:i/>
          <w:iCs/>
          <w:sz w:val="24"/>
          <w:szCs w:val="24"/>
        </w:rPr>
        <w:t xml:space="preserve">В редакции</w:t>
      </w:r>
      <w:r>
        <w:rPr>
          <w:rFonts w:ascii="Arial" w:cs="Arial" w:eastAsia="Arial" w:hAnsi="Arial"/>
          <w:i/>
          <w:iCs/>
          <w:sz w:val="24"/>
          <w:szCs w:val="24"/>
        </w:rPr>
        <w:t xml:space="preserve">Распоряжение Кабинета Министров от </w:t>
      </w:r>
      <w:hyperlink w:history="1" r:id="rIdc6bxvzf4u0n3ly44gf_0c">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 утратило силу</w:t>
      </w:r>
    </w:p>
    <w:p>
      <w:pPr>
        <w:spacing w:after="120"/>
        <w:jc w:val="both"/>
      </w:pPr>
      <w:r>
        <w:rPr>
          <w:rFonts w:ascii="Arial" w:cs="Arial" w:eastAsia="Arial" w:hAnsi="Arial"/>
          <w:sz w:val="24"/>
          <w:szCs w:val="24"/>
        </w:rPr>
        <w:t xml:space="preserve">от 16 августа 2021 года № 145-р</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конституционных гарантий защиты собственности, стимулирования устойчивого роста экономики, исключения необоснованного вмешательства государства в экономическую деятельность субъектов предпринимательства, а также повышения доверия инвесторов, создания благоприятного инвестиционного климата и деловой среды:</w:t>
      </w:r>
    </w:p>
    <w:p>
      <w:pPr>
        <w:spacing w:after="60"/>
        <w:ind w:firstLine="567"/>
        <w:jc w:val="both"/>
      </w:pPr>
      <w:r>
        <w:rPr>
          <w:rFonts w:ascii="Arial" w:cs="Arial" w:eastAsia="Arial" w:hAnsi="Arial"/>
          <w:sz w:val="24"/>
          <w:szCs w:val="24"/>
        </w:rPr>
        <w:t xml:space="preserve">1. Утвердить </w:t>
      </w:r>
      <w:hyperlink w:history="1" r:id="rIdd470g8z2o2n8ychfyzij0">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w:t>
      </w:r>
      <w:hyperlink w:history="1" r:id="rIdgmdzvx2udduirdacowws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защите собственности и поддержке предпринимателей и инвесторов" от 29 января 2021 года № 3 (далее - План) согласно приложению.</w:t>
      </w:r>
    </w:p>
    <w:p>
      <w:pPr>
        <w:spacing w:after="60"/>
        <w:ind w:firstLine="567"/>
        <w:jc w:val="both"/>
      </w:pPr>
      <w:r>
        <w:rPr>
          <w:rFonts w:ascii="Arial" w:cs="Arial" w:eastAsia="Arial" w:hAnsi="Arial"/>
          <w:sz w:val="24"/>
          <w:szCs w:val="24"/>
        </w:rPr>
        <w:t xml:space="preserve">2. Государственным органам исполнительной власти Кыргызской Республики, Генеральной прокуратуре Кыргызской Республики (по согласованию):</w:t>
      </w:r>
    </w:p>
    <w:p>
      <w:pPr>
        <w:spacing w:after="60"/>
        <w:ind w:firstLine="567"/>
        <w:jc w:val="both"/>
      </w:pPr>
      <w:r>
        <w:rPr>
          <w:rFonts w:ascii="Arial" w:cs="Arial" w:eastAsia="Arial" w:hAnsi="Arial"/>
          <w:sz w:val="24"/>
          <w:szCs w:val="24"/>
        </w:rPr>
        <w:t xml:space="preserve">- принять меры по исполнению </w:t>
      </w:r>
      <w:hyperlink w:history="1" r:id="rIdbb5rx3uhijfwtjjpv9ong">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в установленные сроки;</w:t>
      </w:r>
    </w:p>
    <w:p>
      <w:pPr>
        <w:spacing w:after="60"/>
        <w:ind w:firstLine="567"/>
        <w:jc w:val="both"/>
      </w:pPr>
      <w:r>
        <w:rPr>
          <w:rFonts w:ascii="Arial" w:cs="Arial" w:eastAsia="Arial" w:hAnsi="Arial"/>
          <w:sz w:val="24"/>
          <w:szCs w:val="24"/>
        </w:rPr>
        <w:t xml:space="preserve">- информацию о выполнении </w:t>
      </w:r>
      <w:hyperlink w:history="1" r:id="rIdfcqo0krxranrribpx8vsp">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представлять в Министерство экономики и финансов Кыргызской Республики до 5 числа каждого месяца.</w:t>
      </w:r>
    </w:p>
    <w:p>
      <w:pPr>
        <w:spacing w:after="60"/>
        <w:ind w:firstLine="567"/>
        <w:jc w:val="both"/>
      </w:pPr>
      <w:r>
        <w:rPr>
          <w:rFonts w:ascii="Arial" w:cs="Arial" w:eastAsia="Arial" w:hAnsi="Arial"/>
          <w:sz w:val="24"/>
          <w:szCs w:val="24"/>
        </w:rPr>
        <w:t xml:space="preserve">3. Министерству экономики и финансов Кыргызской Республики представлять в Кабинет Министров Кыргызской Республики обобщенную информацию о ходе выполнения </w:t>
      </w:r>
      <w:hyperlink w:history="1" r:id="rIdfm3pyewoxdneujsmqzddz">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до 15 числа каждого месяца.</w:t>
      </w:r>
    </w:p>
    <w:p>
      <w:pPr>
        <w:spacing w:after="60"/>
        <w:ind w:firstLine="567"/>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w:t>
      </w:r>
      <w:hyperlink w:history="1" r:id="rIdjj0jq_sbyygty-bb1xjah">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Контроль за исполнением настоящего распоряжения возложить на структурные подразделения Кабинета Министров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ПЛАН МЕРОПРИЯТИЙ
 по реализации Указа Президента Кыргызской Республики "О защите собственности и поддержке предпринимателей и инвесторов" от 29 января 2021 года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Прекратить необоснованное вмешательство правоохранительных, фискальных и контролирующих органов в деятельность субъектов предпринимательства, воспрепятствование предпринимательской деятельности и нарушение законных прав собственников, в том числе из-за невыполнения и невозможности выполнения договорных обязательств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l5zqditihlcpeedlb556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в части проведения плановых проверок со стороны государственных контролирующих органов объединенным способом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w:t>
            </w:r>
            <w:hyperlink w:history="1" r:id="rIdx7sj-uwpdvdhpie2xskh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и дополнения (поправки) в уголовное и уголовно-процессуальное законодательство, предусматривающие защиту прав предпринимателей и инвесторов от незаконных и необоснованных действий со стороны судебных и правоохранительных органов:</w:t>
            </w:r>
          </w:p>
          <w:p>
            <w:pPr>
              <w:jc w:val="left"/>
            </w:pPr>
            <w:r>
              <w:rPr>
                <w:rFonts w:ascii="Arial" w:cs="Arial" w:eastAsia="Arial" w:hAnsi="Arial"/>
                <w:sz w:val="24"/>
                <w:szCs w:val="24"/>
              </w:rPr>
              <w:t xml:space="preserve">путем исключения уголовного досудебного производства и привлечения к уголовной ответственности по экономическим спорам, возникающим между хозяйствующими субъектами;</w:t>
            </w:r>
          </w:p>
          <w:p>
            <w:pPr>
              <w:jc w:val="left"/>
            </w:pPr>
            <w:r>
              <w:rPr>
                <w:rFonts w:ascii="Arial" w:cs="Arial" w:eastAsia="Arial" w:hAnsi="Arial"/>
                <w:sz w:val="24"/>
                <w:szCs w:val="24"/>
              </w:rPr>
              <w:t xml:space="preserve">путем внесения изменения в Уголовный </w:t>
            </w:r>
            <w:hyperlink w:history="1" r:id="rId3ulyosiq9ooxynugzbbb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и </w:t>
            </w:r>
            <w:hyperlink w:history="1" r:id="rIdc3dqziyqt9hrd0doy7qg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предусматривающие обязательность наличия вступивших в силу решений фискальных органов, подтверждающих факт нарушения налогового законодательства, для начала уголовного судопроизводства;</w:t>
            </w:r>
          </w:p>
          <w:p>
            <w:pPr>
              <w:jc w:val="left"/>
            </w:pPr>
            <w:r>
              <w:rPr>
                <w:rFonts w:ascii="Arial" w:cs="Arial" w:eastAsia="Arial" w:hAnsi="Arial"/>
                <w:sz w:val="24"/>
                <w:szCs w:val="24"/>
              </w:rPr>
              <w:t xml:space="preserve">путем исключения возможности следователя требовать проведения "иных проверочных действий", предусмотренных пунктом 4 части 1 </w:t>
            </w:r>
            <w:hyperlink w:history="1" r:id="rIdfzpoay2dw6sl7mq8lage5">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Уголовно-процессуального кодекса Кыргызской Республики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и дополнения (поправки) в уголовное и уголовно-процессуальное законодательство Кыргызской Республики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разрешения споров между инвесторами и государственными органами через независимый арбитраж (третейский суд)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механизм разрешения споров между инвесторами и государственными органами через независимый арбитраж (третейский суд)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Проработать вопрос внедрения нормы, предусматривающей альтернативные механизмы разрешения налоговых споров, обжалование административных актов, действий или бездействий фискальных органов;</w:t>
            </w:r>
          </w:p>
          <w:p>
            <w:pPr>
              <w:jc w:val="left"/>
            </w:pPr>
            <w:r>
              <w:rPr>
                <w:rFonts w:ascii="Arial" w:cs="Arial" w:eastAsia="Arial" w:hAnsi="Arial"/>
                <w:sz w:val="24"/>
                <w:szCs w:val="24"/>
              </w:rPr>
              <w:t xml:space="preserve">- проработать вопрос сокращения плановых и внеплановых налоговых проверок, с переходом на дистанционный контроль по аналогии с передовым международным опытом в данной сфере;</w:t>
            </w:r>
          </w:p>
          <w:p>
            <w:pPr>
              <w:jc w:val="left"/>
            </w:pPr>
            <w:r>
              <w:rPr>
                <w:rFonts w:ascii="Arial" w:cs="Arial" w:eastAsia="Arial" w:hAnsi="Arial"/>
                <w:sz w:val="24"/>
                <w:szCs w:val="24"/>
              </w:rPr>
              <w:t xml:space="preserve">- проработать вопрос введения системы рейтинга налогоплательщика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Налогового кодекса Кыргызской Республики в новой редакции с учетом содержаний указанных мер</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автоматизированную систему категорирования участников ВЭД по уровням риска (низкий, средний, высокий), который без участия должностных лиц таможенных органов на периодической основе осуществляет категорирования (распределение) участников ВЭД по уровням риска на основании ранее заданных критериев риска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система категорирования участников внешнеэкономической деятельности (ВЭД)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 </w:t>
            </w:r>
          </w:p>
          <w:p>
            <w:pPr>
              <w:jc w:val="center"/>
            </w:pPr>
            <w:r>
              <w:rPr>
                <w:rFonts w:ascii="Arial" w:cs="Arial" w:eastAsia="Arial" w:hAnsi="Arial"/>
                <w:sz w:val="24"/>
                <w:szCs w:val="24"/>
              </w:rPr>
              <w:t xml:space="preserve">2022 года</w:t>
            </w:r>
          </w:p>
          <w:p>
            <w:pPr>
              <w:jc w:val="center"/>
            </w:pPr>
            <w:r>
              <w:rPr>
                <w:rFonts w:ascii="Arial" w:cs="Arial" w:eastAsia="Arial" w:hAnsi="Arial"/>
                <w:i/>
                <w:iCs/>
                <w:sz w:val="24"/>
                <w:szCs w:val="24"/>
              </w:rPr>
              <w:t xml:space="preserve">(Распоряжение Кабинета Министров от </w:t>
            </w:r>
            <w:hyperlink w:history="1" r:id="rId3nltwa39njqdtpyq6d0e5">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безопасность деятельности инвестиционных объектов и имущества инвесторов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устанавливающий запрет на инициирование: проверок и пересмотра договоров по приватизации государственного имущества, инвестиционных соглашений, заключаемых Кабинетом Министров Кыргызской Республики, а также всех сделок, в которых государственные организации выступают субъектами гражданских правоотношений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Закона по вопросам государственного имущества, а также внесены изменения в другие нормативные правовые акты в части проведения проверок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МИ, 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определяющего порядок разрешения спорных отношений по Декретам Временного Правительства Кыргызской Республики о национализации в судебном порядке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Закона в части разрешения спорных отношений по Декретам Временного Правительства Кыргызской Республики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"один следственный орган по экономическим преступлениям" без права передачи подследственности другим правоохранительным органам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в Уголовно-процессуальный </w:t>
            </w:r>
            <w:hyperlink w:history="1" r:id="rIdwp_yvavwfeoi8m0wmkuh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внедрении принципа "один следственный орган по экономическим преступлениям" без права передачи подследственности другим правоохранительным органам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Уголовно-процессуальный </w:t>
            </w:r>
            <w:hyperlink w:history="1" r:id="rIdz6zkr_9frk-ojbfc3umj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Генеральная прокуратура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предварительной проверки без регистрации в Едином реестре преступлений и проступков заявлений и сообщений в отношении предпринимателей о правонарушениях, основанных на неисполнении или ненадлежащем исполнении гражданско-правовых сделок, совершенных в письменной форме и не признанных судом недействительными, мнимыми или притворными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в Уголовно-процессуальный </w:t>
            </w:r>
            <w:hyperlink w:history="1" r:id="rId7cbahaej78sea663p4pk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внедрении механизма предварительной проверки без регистрации в Едином реестре преступлений и проступков заявлений и сообщений в отношении предпринимателей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Уголовно-процессуальный </w:t>
            </w:r>
            <w:hyperlink w:history="1" r:id="rIdcunqjiyiwzmbufjnkrqe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Генеральная прокуратура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участии Верховного суда Кыргызской Республики и бизнес-сообщества внести на рассмотрение в Жогорку Кенеш Кыргызской Республики пакет законопроектов по дальнейшему повышению роли и эффективности деятельности судебных органов по обеспечению надежной защиты прав и законных интересов субъектов предпринимательства, ускорению сроков рассмотрения исков субъектов предпринимательства, в том числе путем широкого внедрения информационно-коммуникационных технологий</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Разработать Закон Кыргызской Республики "О внесении изменений в некоторые законодательные акты по вопросам взаимодействия бизнеса с правоохранительными и судебными органами", предусматривающий создание условий для обеспечения безопасности инвесторов и бизнеса;</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Разработан Закон КР "О внесении изменений в некоторые законодательные акты по вопросам взаимодействия бизнеса с правоохранительными и судебными органами"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проект Закона Кыргызской Республики "О внесении изменений в некоторые законодательные акты по защите проектов государственно-частного партнерства" (ГЧП), предусматривающий ограничение проверок и разрешение споров в судебных органах Кыргызской Республики, а также в международных судах и арбитражах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Закон Кыргызской Республики "О внесении изменений в некоторые законодательные акты по защите проектов государственно-частного партнерства" (ГЧП)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Жогорку Кенеш Кыргызской Республики пакет законопроектов по декриминализации экономических преступлений и проступков, а также проект Закона Кыргызской Республики, запрещающий применение меры пресечения по экономическим преступлениям в виде заключения под стражу в ходе досудебного производства</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Внести изменения в Уголовно-процессуальный </w:t>
            </w:r>
            <w:hyperlink w:history="1" r:id="rIdvaflaifk5sawhzhix94r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Уголовный </w:t>
            </w:r>
            <w:hyperlink w:history="1" r:id="rIddy-dgisnyv67wl7xu4jh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w:t>
            </w:r>
          </w:p>
          <w:p>
            <w:pPr>
              <w:jc w:val="left"/>
            </w:pPr>
            <w:r>
              <w:rPr>
                <w:rFonts w:ascii="Arial" w:cs="Arial" w:eastAsia="Arial" w:hAnsi="Arial"/>
                <w:sz w:val="24"/>
                <w:szCs w:val="24"/>
              </w:rPr>
              <w:t xml:space="preserve">исключения избрания ареста в качестве меры пресечения по экономическим делам;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Уголовно-процессуальный </w:t>
            </w:r>
            <w:hyperlink w:history="1" r:id="rIdemnfmi04zagqdioljopy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Уголовный </w:t>
            </w:r>
            <w:hyperlink w:history="1" r:id="rIdfwofzho5espluxaf7yhi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МЭФ, МЮ, Генеральная прокуратура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исключения привлечения субъектов предпринимательства (учредителей (участников), руководителей и иных должностных лиц), совершивших исключительно экономические преступления, к уголовной ответственности, квалифицирующих данные деяния по другим статьям Уголовного </w:t>
            </w:r>
            <w:hyperlink w:history="1" r:id="rIdo_66hvlhjljokcyz6tx2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ставящих их в один ряд с лицами, совершившими преступления криминального характера и членами организованных преступных группировок;</w:t>
            </w:r>
          </w:p>
          <w:p>
            <w:pPr>
              <w:jc w:val="left"/>
            </w:pPr>
            <w:r>
              <w:rPr>
                <w:rFonts w:ascii="Arial" w:cs="Arial" w:eastAsia="Arial" w:hAnsi="Arial"/>
                <w:sz w:val="24"/>
                <w:szCs w:val="24"/>
              </w:rPr>
              <w:t xml:space="preserve">исключения (или разграничения в рамках самой статьи) привлечения к уголовной ответственности учредителей (участников) руководителей и сотрудников субъектов предпринимательства по </w:t>
            </w:r>
            <w:hyperlink w:history="1" r:id="rIduvtcvh-kjaqte9h66o1-1">
              <w:r>
                <w:rPr>
                  <w:rFonts w:ascii="Arial" w:cs="Arial" w:eastAsia="Arial" w:hAnsi="Arial"/>
                  <w:color w:val="1D4ED8"/>
                  <w:sz w:val="24"/>
                  <w:szCs w:val="24"/>
                  <w:u w:val="single"/>
                </w:rPr>
                <w:t xml:space="preserve">статье 319</w:t>
              </w:r>
            </w:hyperlink>
            <w:r>
              <w:rPr>
                <w:rFonts w:ascii="Arial" w:cs="Arial" w:eastAsia="Arial" w:hAnsi="Arial"/>
                <w:sz w:val="24"/>
                <w:szCs w:val="24"/>
              </w:rPr>
              <w:t xml:space="preserve"> Уголовного кодекса КР (коррупция)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Генеральная прокуратура (по согласованию)</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применяемые количественные индикаторы эффективности деятельности правоохранительных, фискальных и контролирующих органов и их сотрудников, в двухмесячный срок внедрить новый механизм оценки их результативности, ориентированной на поддержку и защиту предпринимателей и их частной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новый механизм оценки результативности правоохранительных, фискальных и контролирующих органов и их сотрудников, ориентированной на поддержку и защиту предпринимателей и их частной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нормативного правового акта в сфере защиты предпринимательской деятельности и инвесторов, предусматривающий механизм оценки результативности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регулятивную реформу с применением принципа "умного регулирования" и механизма регуляторной "песочницы", направленную на улучшение предпринимательской среды, в том числе на значительное снижение вмешательства государства в предпринимательскую деятельность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постановления Кабинета Министров Кыргызской Республики, предусматривающий образование межведомственной экспертной группы и утверждение регламента работы данной группы по проведению инвентаризации законодательства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Регламент работы межведомственной экспертной группы по проведению инвентаризации законодательства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разработки проекта Закона Кыргызской Республики "О нормативных правовых актах" в новой редакции предусмотреть механизм регуляторной "песочницы"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 Кыргызской Республики "О нормативных правовых актах" в новой редакции, предусматривающий механизм регуляторной "песочницы"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потенциал и усилить техническое оснащение Государственной судебно-экспертной службы при Кабинете Министров Кыргызской Республики, а также сократить сроки проведения судебной экспертизы в отношении экономических преступлений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нормативную правовую базу в части оптимизации процедур проведения судебной экспертизы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Совершенствована нормативная правовая база проведения судебной экспертизы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практики применения законодательства по вопросам назначения судебной экспертизы и внести предложения Верховному суду Кыргызской Республики о принятии соответствующего постановления Пленума Верховного суда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Верховному суду Кыргызской Республики о принятии соответствующего постановления Пленума по итогам проведения анализа практики применения законодательства по вопросам назначения судебной экспертизы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автоматизированную информационную систему "Эксперт" для автоматизации судебно-экспертной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соответствующая автоматизированная информационная система для автоматизации судебно-экспертной деятельности</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МЭФ, МЦР</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штатной численности и условий оплаты труда экспертов Государственной судебно-экспертной службы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соответствующее решение, предусматривающее распределение штатной численности и условий оплаты труда экспертов Государственной судебно-экспертной службы</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МЭФ</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материально-техническое оснащение Государственной судебно-экспертной службы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материально-техническое оснащение Государственной судебно-экспертной службы для ведения деятельности экспертов</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МЭФ</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Перевести в автоматизированный формат значительную часть государственных услуг, оптимизировать бизнес-процессы предоставления государственных услуг и внести изменения в стандарты и административные регламенты таких услуг в части исключения ненужных процедур и истребования документов от предпринимателей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стандартов и административных регламентов государственных и муниципальных услуг на предмет их актуальности и возможностей их перевода в электронный формат посредством цифрового взаимодействия государственных (муниципальных) органов через систему межведомственного электронного взаимодействия "Тундук"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на предмет их актуальности и возможностей их перевода в электронный формат посредством цифрового взаимодействия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МЦР</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Обобщить итоги инвентаризации стандартов и административных регламентов на предмет их перевода в электронный формат посредством цифрового взаимодействия государственных (муниципальных) органов через систему межведомственного электронного взаимодействия "Тундук", в части исключения ненужных процедур и истребования документов от предпринимателей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работа по оптимизации ненужных процедур и истребования документов от предпринимателей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из нормативных правовых актов, стандартов, регламентов и локальных актов справки и документы в бумажном формате, не подлежащие автоматизации или утратившие их актуальность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административных процедур и исключены из нормативных правовых актов, стандартов, регламентов и локальных актов справки и документы, не подлежащие автоматизации или утратившие актуальность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Направить результаты на рассмотрение межведомственной комиссии по оптимизации системы предоставления государственных и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межведомственной комиссии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передачи части государственных и муниципальных услуг на аутсорсинг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соответствующая методика по передаче части государственных и муниципальных услуг на аутсорсинг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Заинтересованные государственные органы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включения на Государственном портале электронных услуг раздела "услуги населению/бизнесу" с интеграцией существующих информационных порталов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 раздел "услуги населению/бизнесу"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Единый электронный портал по выдаче лицензий и разрешительных документов и обеспечить автоматизированную систему выдачи лицензий и разрешений. Провести его интеграцию с Государственным порталом электронных услуг через Единую систему идентификации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разрешительных документов и определить их перечень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и определен перечень разрешительных документов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МЦР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исчерпывающий перечень разрешительных документов в Кыргызской Республике с применением принципа "Гильотины"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исчерпывающий перечень разрешительных документов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Государственном портале электронных услуг предусмотреть раздел "Услуги бизнесу", интегрированный с Единым электронным реестром разрешительных документов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 раздел "Услуги бизнесу" на Государственном портале электронных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выдачу лицензий на импорт/экспорт специфических товаров, включенных в Единый перечень товаров ЕАЭС, в отношении которых применяются меры нетарифного регулирования в торговле с третьими странами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Автоматизирована выдача лицензий на импорт/экспорт специфических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переход налоговых органов к сервисной модели обслуживания налогоплательщиков, упростить процедуры налогового администрирования путем цифровизации основных бизнес-процессов и исключить полностью контакт сотрудников налоговых органов с налогоплательщиком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формы единой налоговой декларации и порядка ее заполнения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нормативного правового акта, предусматривающий утверждение упрощенной формы единой налоговой декларации для удобства налогоплательщиков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декабрь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работу информационной системы электронного сервиса по получению объединенной формы патента и страхового полиса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Совершенствована и оптимизирована работа информационной системы электронного сервиса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кабинет налогоплательщика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Оптимизирована работа кабинета налогоплательщика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прослеживаемость товаров, подлежащих обязательной маркировке средствами идентификации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нормативного правового акта, предусматривающий введение прослеживаемости цепи поставок маркированных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очередь в Единых окнах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электронной очереди в Единых окнах в целях оперативности обслуживания и удобства налогоплательщиков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площадки для налогоплательщиков в Единых окнах для самообслуживания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функционирования площадки самообслуживания для налогоплательщиков в Единых окнах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Концепцию по внедрению сервисного обслуживания налогоплательщиков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Концепция по внедрению сервисного обслуживания налогоплательщиков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индикаторы скорости таможенной очистки товаров и качества предоставляемых услуг, сформировать конкурентоспособную и полную автоматизированную таможенную инфраструктуру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управления рисками на всех этапах проведения таможенного контроля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Совершенствована система управления рисками на всех этапах проведения таможенного контроля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w:t>
            </w:r>
          </w:p>
          <w:p>
            <w:pPr>
              <w:jc w:val="center"/>
            </w:pPr>
            <w:r>
              <w:rPr>
                <w:rFonts w:ascii="Arial" w:cs="Arial" w:eastAsia="Arial" w:hAnsi="Arial"/>
                <w:i/>
                <w:iCs/>
                <w:sz w:val="24"/>
                <w:szCs w:val="24"/>
              </w:rPr>
              <w:t xml:space="preserve">(Распоряжение Кабинета Министров от </w:t>
            </w:r>
            <w:hyperlink w:history="1" r:id="rIdv4dwdxknzg_eameoge0lf">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управления рисками и таможенного контроля после выпуска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Минимизировано влияние человеческого фактора при выборке объекта проведения таможенного контроля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временные индикаторы скорости таможенного оформления перемещаемых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временные индикаторы скорости таможенного оформления перемещаемых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полное введение электронного таможенного декларирования и системы автоматического выпуска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внедрение электронного таможенного декларирования в электронном виде и системы автоматического выпуска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Переведены в электронный формат предоставляемые документы и сведения для целей таможенного оформления. Создана система управления рисками, направленная на внедрение категорирования субъектов ВЭД.</w:t>
            </w:r>
          </w:p>
          <w:p>
            <w:pPr>
              <w:jc w:val="left"/>
            </w:pPr>
            <w:r>
              <w:rPr>
                <w:rFonts w:ascii="Arial" w:cs="Arial" w:eastAsia="Arial" w:hAnsi="Arial"/>
                <w:sz w:val="24"/>
                <w:szCs w:val="24"/>
              </w:rPr>
              <w:t xml:space="preserve">Реализован процесс автоматического освобождения от отдельных форм таможенного контроля (досмотр, осмотр) с использованием системы управления рисками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 </w:t>
            </w:r>
          </w:p>
          <w:p>
            <w:pPr>
              <w:jc w:val="center"/>
            </w:pPr>
            <w:r>
              <w:rPr>
                <w:rFonts w:ascii="Arial" w:cs="Arial" w:eastAsia="Arial" w:hAnsi="Arial"/>
                <w:sz w:val="24"/>
                <w:szCs w:val="24"/>
              </w:rPr>
              <w:t xml:space="preserve">2023 года</w:t>
            </w:r>
          </w:p>
          <w:p>
            <w:pPr>
              <w:jc w:val="center"/>
            </w:pPr>
            <w:r>
              <w:rPr>
                <w:rFonts w:ascii="Arial" w:cs="Arial" w:eastAsia="Arial" w:hAnsi="Arial"/>
                <w:i/>
                <w:iCs/>
                <w:sz w:val="24"/>
                <w:szCs w:val="24"/>
              </w:rPr>
              <w:t xml:space="preserve">(Распоряжение Кабинета Министров от </w:t>
            </w:r>
            <w:hyperlink w:history="1" r:id="rId17bsxf1v6jmuctshzd8xj">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систему контроля отслеживания и доставки товаров и транспортных средств до таможенного органа назначения с использованием навигационных пломб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 Национальный оператор, электронная система контроля отслеживания и доставки товаров и транспортных средств до таможенного органа назначения с использованием навигационных пломб реализована в пилотном режиме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благоприятные условия для ведения предпринимательской деятельности в отдельных приграничных территориях, включающие меры государственной поддержки и льготного фискального режима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развития Баткенской области, с учетом особого статуса, дорожную карту по ее реализации, включая вопросы по развитию инфраструктурных проектов, с конкретными сроками реализации.</w:t>
            </w:r>
          </w:p>
          <w:p>
            <w:pPr>
              <w:jc w:val="left"/>
            </w:pPr>
            <w:r>
              <w:rPr>
                <w:rFonts w:ascii="Arial" w:cs="Arial" w:eastAsia="Arial" w:hAnsi="Arial"/>
                <w:sz w:val="24"/>
                <w:szCs w:val="24"/>
              </w:rPr>
              <w:t xml:space="preserve">Обеспечить реализацию первоочередных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развития Баткенской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Обеспечена реализация первоочередных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МСВХиРР, МЭФ, МТК, Полномочное представительство Кабинета Министров в Баткенской области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в </w:t>
            </w:r>
            <w:hyperlink w:history="1" r:id="rId0u7nb_njgygi4balnurez">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формирования фондов развития регионов, утвержденное </w:t>
            </w:r>
            <w:hyperlink w:history="1" r:id="rId7aerem5k9ovtkhypkj0r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2014 года № 633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нормативного правового акта, предусматривающий внесение изменения в </w:t>
            </w:r>
            <w:hyperlink w:history="1" r:id="rId35fk5txdd8wbn4efdceds">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формирования фондов развития регионов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МСВХиРР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Торгово-логистического центра в городе Кызыл-Кия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 Торгово-логистический центр в городе Кызыл-Кия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МСВХР, 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барьеры и упростить требования, установленные в законодательстве Кыргызской Республики по вопросам инвестиций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и порядок формирования и предоставления инвестиционных лотов и разработать проект "Положения о порядке формирования и предоставления инвестиционных лотов"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нормативного правого акта, предусматривающий механизм и порядок формирования и предоставления инвестиционных лотов.</w:t>
            </w:r>
          </w:p>
          <w:p>
            <w:pPr>
              <w:jc w:val="left"/>
            </w:pPr>
            <w:r>
              <w:rPr>
                <w:rFonts w:ascii="Arial" w:cs="Arial" w:eastAsia="Arial" w:hAnsi="Arial"/>
                <w:sz w:val="24"/>
                <w:szCs w:val="24"/>
              </w:rPr>
              <w:t xml:space="preserve">Разработан проект "Положения о порядке формирования и предоставления инвестиционных лотов"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 МСВХиРР (ГАЗР)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предложения по устранению излишних надзорных и регулирующих функций госорганов в рамках рабочих групп по "Doing Business". По результатам разработать соответствующие проекты нормативного правового акта в рамках общей инвентаризации законодательства в части дерегулирования бизнеса, с применением механизмов регуляторной "песочницы"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предложения по устранению излишних надзорных и регулирующих функций госорганов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результатам разработаны соответствующие проекты нормативного правового акта</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критерии Соглашения по проектам ГЧП, с определением частного партнера на основании прямых переговоров согласно </w:t>
            </w:r>
            <w:hyperlink w:history="1" r:id="rIdphasv2avodtae4jxwgsp6">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внесении изменений в некоторые законодательные акты по вопросам поддержки инвестиций" от 26 декабря 2020 года № 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критерии Соглашения по проектам ГЧП</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о внесении изменений в </w:t>
            </w:r>
            <w:hyperlink w:history="1" r:id="rIduyofqqlfjsg6ehxndhod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ГЧП по упрощению процедур и сокращению сроков инициирования малых проектов ГЧП и проектов ГЧП для отечественных инвесторов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 Кыргызской Республики о ГЧП и инициированы проекты малых ГЧП и ГЧП для отечественных инвесторов</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oqphzv6sbkwcwrjmggx">
      <w:r>
        <w:rPr>
          <w:rFonts w:ascii="Arial" w:cs="Arial" w:eastAsia="Arial" w:hAnsi="Arial"/>
          <w:color w:val="132D3F"/>
          <w:sz w:val="16"/>
          <w:szCs w:val="16"/>
          <w:u w:val="single"/>
        </w:rPr>
        <w:t xml:space="preserve">dalil.kg/document/218615</w:t>
      </w:r>
    </w:hyperlink>
  </w:p>
  <w:p>
    <w:pPr>
      <w:spacing w:after="0" w:before="40"/>
      <w:jc w:val="center"/>
    </w:pPr>
    <w:hyperlink w:history="1" r:id="rIdizlqqb3ux_gpsvquzvj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4e45jqlassgzbhvcr7s" Type="http://schemas.openxmlformats.org/officeDocument/2006/relationships/hyperlink" Target="https://dalil.kg/document/230010675" TargetMode="External"/><Relationship Id="rIdc6bxvzf4u0n3ly44gf_0c" Type="http://schemas.openxmlformats.org/officeDocument/2006/relationships/hyperlink" Target="https://dalil.kg/document/218979" TargetMode="External"/><Relationship Id="rIdd470g8z2o2n8ychfyzij0" Type="http://schemas.openxmlformats.org/officeDocument/2006/relationships/hyperlink" Target="https://dalil.kg/document/218615#pr" TargetMode="External"/><Relationship Id="rIdgmdzvx2udduirdacowwse" Type="http://schemas.openxmlformats.org/officeDocument/2006/relationships/hyperlink" Target="https://dalil.kg/document/430338" TargetMode="External"/><Relationship Id="rIdbb5rx3uhijfwtjjpv9ong" Type="http://schemas.openxmlformats.org/officeDocument/2006/relationships/hyperlink" Target="https://dalil.kg/document/218615#pr" TargetMode="External"/><Relationship Id="rIdfcqo0krxranrribpx8vsp" Type="http://schemas.openxmlformats.org/officeDocument/2006/relationships/hyperlink" Target="https://dalil.kg/document/218615#pr" TargetMode="External"/><Relationship Id="rIdfm3pyewoxdneujsmqzddz" Type="http://schemas.openxmlformats.org/officeDocument/2006/relationships/hyperlink" Target="https://dalil.kg/document/218615#pr" TargetMode="External"/><Relationship Id="rIdjj0jq_sbyygty-bb1xjah" Type="http://schemas.openxmlformats.org/officeDocument/2006/relationships/hyperlink" Target="https://dalil.kg/document/218615#pr" TargetMode="External"/><Relationship Id="rIdl5zqditihlcpeedlb5563" Type="http://schemas.openxmlformats.org/officeDocument/2006/relationships/hyperlink" Target="https://dalil.kg/document/202105" TargetMode="External"/><Relationship Id="rIdx7sj-uwpdvdhpie2xskhn" Type="http://schemas.openxmlformats.org/officeDocument/2006/relationships/hyperlink" Target="https://dalil.kg/document/202105" TargetMode="External"/><Relationship Id="rId3ulyosiq9ooxynugzbbba" Type="http://schemas.openxmlformats.org/officeDocument/2006/relationships/hyperlink" Target="https://dalil.kg/document/111527" TargetMode="External"/><Relationship Id="rIdc3dqziyqt9hrd0doy7qg4" Type="http://schemas.openxmlformats.org/officeDocument/2006/relationships/hyperlink" Target="https://dalil.kg/document/111529" TargetMode="External"/><Relationship Id="rIdfzpoay2dw6sl7mq8lage5" Type="http://schemas.openxmlformats.org/officeDocument/2006/relationships/hyperlink" Target="https://dalil.kg/document/111530#st_35" TargetMode="External"/><Relationship Id="rId3nltwa39njqdtpyq6d0e5" Type="http://schemas.openxmlformats.org/officeDocument/2006/relationships/hyperlink" Target="https://dalil.kg/document/218979" TargetMode="External"/><Relationship Id="rIdwp_yvavwfeoi8m0wmkuho" Type="http://schemas.openxmlformats.org/officeDocument/2006/relationships/hyperlink" Target="https://dalil.kg/document/111530" TargetMode="External"/><Relationship Id="rIdz6zkr_9frk-ojbfc3umjm" Type="http://schemas.openxmlformats.org/officeDocument/2006/relationships/hyperlink" Target="https://dalil.kg/document/111530" TargetMode="External"/><Relationship Id="rId7cbahaej78sea663p4pku" Type="http://schemas.openxmlformats.org/officeDocument/2006/relationships/hyperlink" Target="https://dalil.kg/document/111530" TargetMode="External"/><Relationship Id="rIdcunqjiyiwzmbufjnkrqe8" Type="http://schemas.openxmlformats.org/officeDocument/2006/relationships/hyperlink" Target="https://dalil.kg/document/111530" TargetMode="External"/><Relationship Id="rIdvaflaifk5sawhzhix94r5" Type="http://schemas.openxmlformats.org/officeDocument/2006/relationships/hyperlink" Target="https://dalil.kg/document/111530" TargetMode="External"/><Relationship Id="rIddy-dgisnyv67wl7xu4jhk" Type="http://schemas.openxmlformats.org/officeDocument/2006/relationships/hyperlink" Target="https://dalil.kg/document/111527" TargetMode="External"/><Relationship Id="rIdemnfmi04zagqdioljopyl" Type="http://schemas.openxmlformats.org/officeDocument/2006/relationships/hyperlink" Target="https://dalil.kg/document/111530" TargetMode="External"/><Relationship Id="rIdfwofzho5espluxaf7yhiy" Type="http://schemas.openxmlformats.org/officeDocument/2006/relationships/hyperlink" Target="https://dalil.kg/document/111527" TargetMode="External"/><Relationship Id="rIdo_66hvlhjljokcyz6tx2s" Type="http://schemas.openxmlformats.org/officeDocument/2006/relationships/hyperlink" Target="https://dalil.kg/document/111527" TargetMode="External"/><Relationship Id="rIduvtcvh-kjaqte9h66o1-1" Type="http://schemas.openxmlformats.org/officeDocument/2006/relationships/hyperlink" Target="https://dalil.kg/document/111527#st_319" TargetMode="External"/><Relationship Id="rIdv4dwdxknzg_eameoge0lf" Type="http://schemas.openxmlformats.org/officeDocument/2006/relationships/hyperlink" Target="https://dalil.kg/document/218979" TargetMode="External"/><Relationship Id="rId17bsxf1v6jmuctshzd8xj" Type="http://schemas.openxmlformats.org/officeDocument/2006/relationships/hyperlink" Target="https://dalil.kg/document/218979" TargetMode="External"/><Relationship Id="rId0u7nb_njgygi4balnurez" Type="http://schemas.openxmlformats.org/officeDocument/2006/relationships/hyperlink" Target="https://dalil.kg/document/97125" TargetMode="External"/><Relationship Id="rId7aerem5k9ovtkhypkj0r8" Type="http://schemas.openxmlformats.org/officeDocument/2006/relationships/hyperlink" Target="https://dalil.kg/document/97124" TargetMode="External"/><Relationship Id="rId35fk5txdd8wbn4efdceds" Type="http://schemas.openxmlformats.org/officeDocument/2006/relationships/hyperlink" Target="https://dalil.kg/document/97125" TargetMode="External"/><Relationship Id="rIdphasv2avodtae4jxwgsp6" Type="http://schemas.openxmlformats.org/officeDocument/2006/relationships/hyperlink" Target="https://dalil.kg/document/112178" TargetMode="External"/><Relationship Id="rIduyofqqlfjsg6ehxndhodv" Type="http://schemas.openxmlformats.org/officeDocument/2006/relationships/hyperlink" Target="https://dalil.kg/document/112275"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oqphzv6sbkwcwrjmggx" Type="http://schemas.openxmlformats.org/officeDocument/2006/relationships/hyperlink" Target="https://dalil.kg/document/218615" TargetMode="External"/><Relationship Id="rIdizlqqb3ux_gpsvquzvj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2026-09-27T23:22:42.241Z</dcterms:created>
  <dcterms:modified xsi:type="dcterms:W3CDTF">2026-09-27T23:22:42.241Z</dcterms:modified>
</cp:coreProperties>
</file>

<file path=docProps/custom.xml><?xml version="1.0" encoding="utf-8"?>
<Properties xmlns="http://schemas.openxmlformats.org/officeDocument/2006/custom-properties" xmlns:vt="http://schemas.openxmlformats.org/officeDocument/2006/docPropsVTypes"/>
</file>