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РАСПОРЯЖЕНИЕ КАБИНЕТА МИНИСТРОВ КЫРГЫЗСКОЙ РЕСПУБЛИКИ</w:t>
      </w:r>
    </w:p>
    <w:p>
      <w:pPr>
        <w:spacing w:after="240"/>
        <w:jc w:val="both"/>
      </w:pPr>
      <w:r>
        <w:rPr>
          <w:rFonts w:ascii="Arial" w:cs="Arial" w:eastAsia="Arial" w:hAnsi="Arial"/>
          <w:sz w:val="24"/>
          <w:szCs w:val="24"/>
        </w:rPr>
        <w:t xml:space="preserve">от 8 апреля 2022 года № 182-р</w:t>
      </w:r>
    </w:p>
    <w:p>
      <w:pPr>
        <w:spacing w:after="120"/>
        <w:jc w:val="both"/>
      </w:pPr>
      <w:r>
        <w:rPr>
          <w:rFonts w:ascii="Arial" w:cs="Arial" w:eastAsia="Arial" w:hAnsi="Arial"/>
          <w:sz w:val="24"/>
          <w:szCs w:val="24"/>
        </w:rPr>
        <w:t xml:space="preserve">В целях обеспечения выполнения обязательств закрытым акционерным обществом «Кумтор Голд Компани» по уплате налогов и обязательных платежей в бюджет Кыргызской Республики в период временного внешнего управления, введенного в закрытом акционерном обществе «Кумтор Голд Компани»:</w:t>
      </w:r>
    </w:p>
    <w:p>
      <w:pPr>
        <w:spacing w:after="120"/>
        <w:jc w:val="both"/>
      </w:pPr>
      <w:r>
        <w:rPr>
          <w:rFonts w:ascii="Arial" w:cs="Arial" w:eastAsia="Arial" w:hAnsi="Arial"/>
          <w:sz w:val="24"/>
          <w:szCs w:val="24"/>
        </w:rPr>
        <w:t xml:space="preserve">1. Одобрить прилагаемое </w:t>
      </w:r>
      <w:hyperlink w:history="1" r:id="rIduabpmtlnn1uumzy_l8pby">
        <w:r>
          <w:rPr>
            <w:rFonts w:ascii="Arial" w:cs="Arial" w:eastAsia="Arial" w:hAnsi="Arial"/>
            <w:color w:val="1D4ED8"/>
            <w:sz w:val="24"/>
            <w:szCs w:val="24"/>
            <w:u w:val="single"/>
          </w:rPr>
          <w:t xml:space="preserve">Временное соглашение</w:t>
        </w:r>
      </w:hyperlink>
      <w:r>
        <w:rPr>
          <w:rFonts w:ascii="Arial" w:cs="Arial" w:eastAsia="Arial" w:hAnsi="Arial"/>
          <w:sz w:val="24"/>
          <w:szCs w:val="24"/>
        </w:rPr>
        <w:t xml:space="preserve"> между закрытым акционерным обществом «Кумтор Голд Компани» и Кабинетом Министров Кыргызской Республики, подлежащее заключению на срок временного внешнего управления в закрытом акционерном обществе «Кумтор Голд Компани».</w:t>
      </w:r>
    </w:p>
    <w:p>
      <w:pPr>
        <w:spacing w:after="120"/>
        <w:jc w:val="both"/>
      </w:pPr>
      <w:r>
        <w:rPr>
          <w:rFonts w:ascii="Arial" w:cs="Arial" w:eastAsia="Arial" w:hAnsi="Arial"/>
          <w:sz w:val="24"/>
          <w:szCs w:val="24"/>
        </w:rPr>
        <w:t xml:space="preserve">2. Уполномочить министра финансов Кыргызской Республики на подписание указанного </w:t>
      </w:r>
      <w:hyperlink w:history="1" r:id="rIdqwj4ic_vgvfng8zxpcbao">
        <w:r>
          <w:rPr>
            <w:rFonts w:ascii="Arial" w:cs="Arial" w:eastAsia="Arial" w:hAnsi="Arial"/>
            <w:color w:val="1D4ED8"/>
            <w:sz w:val="24"/>
            <w:szCs w:val="24"/>
            <w:u w:val="single"/>
          </w:rPr>
          <w:t xml:space="preserve">Временного соглашения</w:t>
        </w:r>
      </w:hyperlink>
      <w:r>
        <w:rPr>
          <w:rFonts w:ascii="Arial" w:cs="Arial" w:eastAsia="Arial" w:hAnsi="Arial"/>
          <w:sz w:val="24"/>
          <w:szCs w:val="24"/>
        </w:rPr>
        <w:t xml:space="preserve"> без права внесения в него изменений и дополнений.</w:t>
      </w:r>
    </w:p>
    <w:p>
      <w:pPr>
        <w:spacing w:after="120"/>
        <w:jc w:val="both"/>
      </w:pPr>
      <w:r>
        <w:rPr>
          <w:rFonts w:ascii="Arial" w:cs="Arial" w:eastAsia="Arial" w:hAnsi="Arial"/>
          <w:sz w:val="24"/>
          <w:szCs w:val="24"/>
        </w:rPr>
        <w:t xml:space="preserve">3.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w:t>
      </w:r>
    </w:p>
    <w:p>
      <w:pPr>
        <w:tabs>
          <w:tab w:val="right" w:pos="10178"/>
        </w:tabs>
        <w:spacing w:after="120"/>
      </w:pPr>
      <w:r>
        <w:rPr>
          <w:rFonts w:ascii="Arial" w:cs="Arial" w:eastAsia="Arial" w:hAnsi="Arial"/>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center"/>
      </w:pPr>
      <w:r>
        <w:rPr>
          <w:rFonts w:ascii="Arial" w:cs="Arial" w:eastAsia="Arial" w:hAnsi="Arial"/>
          <w:b/>
          <w:bCs/>
          <w:sz w:val="24"/>
          <w:szCs w:val="24"/>
        </w:rPr>
        <w:t xml:space="preserve">ВРЕМЕННОЕ СОГЛАШЕНИЕ</w:t>
      </w:r>
    </w:p>
    <w:p>
      <w:pPr>
        <w:spacing w:after="120"/>
        <w:jc w:val="both"/>
      </w:pPr>
      <w:r>
        <w:rPr>
          <w:rFonts w:ascii="Arial" w:cs="Arial" w:eastAsia="Arial" w:hAnsi="Arial"/>
          <w:b/>
          <w:bCs/>
          <w:sz w:val="24"/>
          <w:szCs w:val="24"/>
        </w:rPr>
        <w:t xml:space="preserve">«____»_______ 2022 г.</w:t>
      </w:r>
    </w:p>
    <w:p>
      <w:pPr>
        <w:spacing w:after="120"/>
        <w:jc w:val="both"/>
      </w:pPr>
      <w:r>
        <w:rPr>
          <w:rFonts w:ascii="Arial" w:cs="Arial" w:eastAsia="Arial" w:hAnsi="Arial"/>
          <w:sz w:val="24"/>
          <w:szCs w:val="24"/>
        </w:rPr>
        <w:t xml:space="preserve">Настоящее Временное соглашение об исполнении закрытым акционерным обществом «Кумтор Голд Компани» (далее - ЗАО «Кумтор Голд Компани») налоговых и иных обязательств (далее -Соглашение) в национальной валюте Кыргызской Республики заключено между Кабинетом Министров Кыргызской Республики и ЗАО «Кумтор Голд Компани» в лице временного внешнего управляющего - открытого акционерного общества «Национальная холдинговая компания «Наследие Великих Кочевников» в соответствии с пунктом 2 распоряжения Кабинета Министров Кыргызской Республики от </w:t>
      </w:r>
      <w:hyperlink w:history="1" r:id="rIdszj4zrenmiujemhx2uzqk">
        <w:r>
          <w:rPr>
            <w:rFonts w:ascii="Arial" w:cs="Arial" w:eastAsia="Arial" w:hAnsi="Arial"/>
            <w:color w:val="1D4ED8"/>
            <w:sz w:val="24"/>
            <w:szCs w:val="24"/>
            <w:u w:val="single"/>
          </w:rPr>
          <w:t xml:space="preserve">11 февраля 2022 года № 133</w:t>
        </w:r>
      </w:hyperlink>
      <w:r>
        <w:rPr>
          <w:rFonts w:ascii="Arial" w:cs="Arial" w:eastAsia="Arial" w:hAnsi="Arial"/>
          <w:sz w:val="24"/>
          <w:szCs w:val="24"/>
        </w:rPr>
        <w:t xml:space="preserve">, именуемых при упоминании совместно «Стороны», а по отдельности «Сторона».</w:t>
      </w:r>
    </w:p>
    <w:p>
      <w:pPr>
        <w:spacing w:after="120"/>
        <w:jc w:val="both"/>
      </w:pPr>
      <w:r>
        <w:rPr>
          <w:rFonts w:ascii="Arial" w:cs="Arial" w:eastAsia="Arial" w:hAnsi="Arial"/>
          <w:sz w:val="24"/>
          <w:szCs w:val="24"/>
        </w:rPr>
        <w:t xml:space="preserve">Принимая во внимание, что согласно Пересмотренному договору о продаже золота и серебра между Правительством Кыргызской Республики от имени Кыргызской Республики, компанией «Центерра Голд Инк.», ЗАО «Кумтор Голд Компани» и ЗАО «Кумтор Оперейтинг Компани» от 6 июня 2009 года (далее -ПДПЗС) все суммы оплаты за продукцию должны выплачиваться ЗАО «Кумтор Голд Компани» в долларах США;</w:t>
      </w:r>
    </w:p>
    <w:p>
      <w:pPr>
        <w:spacing w:after="120"/>
        <w:jc w:val="both"/>
      </w:pPr>
      <w:r>
        <w:rPr>
          <w:rFonts w:ascii="Arial" w:cs="Arial" w:eastAsia="Arial" w:hAnsi="Arial"/>
          <w:sz w:val="24"/>
          <w:szCs w:val="24"/>
        </w:rPr>
        <w:t xml:space="preserve">Принимая во внимание условия Дополнительного соглашения к ПДПЗС, одобренного постановлением Кабинета Министров Кыргызской Республики от 8 октября 2021 года № 207, предусматривающего среди прочего оплату всех сумм за продукцию ЗАО «Кумтор Голд Компани» в национальной валюте (кыргызских сомах);</w:t>
      </w:r>
    </w:p>
    <w:p>
      <w:pPr>
        <w:spacing w:after="120"/>
        <w:jc w:val="both"/>
      </w:pPr>
      <w:r>
        <w:rPr>
          <w:rFonts w:ascii="Arial" w:cs="Arial" w:eastAsia="Arial" w:hAnsi="Arial"/>
          <w:sz w:val="24"/>
          <w:szCs w:val="24"/>
        </w:rPr>
        <w:t xml:space="preserve">Принимая во внимание положения </w:t>
      </w:r>
      <w:hyperlink w:history="1" r:id="rIdwau60hrv7z9snvg1niif5">
        <w:r>
          <w:rPr>
            <w:rFonts w:ascii="Arial" w:cs="Arial" w:eastAsia="Arial" w:hAnsi="Arial"/>
            <w:color w:val="1D4ED8"/>
            <w:sz w:val="24"/>
            <w:szCs w:val="24"/>
            <w:u w:val="single"/>
          </w:rPr>
          <w:t xml:space="preserve">статьи 307</w:t>
        </w:r>
      </w:hyperlink>
      <w:r>
        <w:rPr>
          <w:rFonts w:ascii="Arial" w:cs="Arial" w:eastAsia="Arial" w:hAnsi="Arial"/>
          <w:sz w:val="24"/>
          <w:szCs w:val="24"/>
        </w:rPr>
        <w:t xml:space="preserve"> Гражданского кодекса Кыргызской Республики и </w:t>
      </w:r>
      <w:hyperlink w:history="1" r:id="rIdfw1gzdy6pj4pns5tsphcw">
        <w:r>
          <w:rPr>
            <w:rFonts w:ascii="Arial" w:cs="Arial" w:eastAsia="Arial" w:hAnsi="Arial"/>
            <w:color w:val="1D4ED8"/>
            <w:sz w:val="24"/>
            <w:szCs w:val="24"/>
            <w:u w:val="single"/>
          </w:rPr>
          <w:t xml:space="preserve">статьи 31</w:t>
        </w:r>
      </w:hyperlink>
      <w:r>
        <w:rPr>
          <w:rFonts w:ascii="Arial" w:cs="Arial" w:eastAsia="Arial" w:hAnsi="Arial"/>
          <w:sz w:val="24"/>
          <w:szCs w:val="24"/>
        </w:rPr>
        <w:t xml:space="preserve"> Закона Кыргызской Республики «О Национальном банке Кыргызской Республики, банках и банковской деятельности», установившие национальную валюту -кыргызский сом в качестве единственного законного платежного средства на всей территории Кыргызской Республики, обязательного к приему без ограничений по всем видам платежей;</w:t>
      </w:r>
    </w:p>
    <w:p>
      <w:pPr>
        <w:spacing w:after="120"/>
        <w:jc w:val="both"/>
      </w:pPr>
      <w:r>
        <w:rPr>
          <w:rFonts w:ascii="Arial" w:cs="Arial" w:eastAsia="Arial" w:hAnsi="Arial"/>
          <w:sz w:val="24"/>
          <w:szCs w:val="24"/>
        </w:rPr>
        <w:t xml:space="preserve">Принимая во внимание положения Налогового кодекса Кыргызской Республики, признающего единственным платежным средством налогов национальную валюту - кыргызский сом;</w:t>
      </w:r>
    </w:p>
    <w:p>
      <w:pPr>
        <w:spacing w:after="120"/>
        <w:jc w:val="both"/>
      </w:pPr>
      <w:r>
        <w:rPr>
          <w:rFonts w:ascii="Arial" w:cs="Arial" w:eastAsia="Arial" w:hAnsi="Arial"/>
          <w:sz w:val="24"/>
          <w:szCs w:val="24"/>
        </w:rPr>
        <w:t xml:space="preserve">В целях применения положений Пересмотренного Инвестиционного Соглашения между Правительством Кыргызской Республики от имени Кыргызской Республики, компанией «Центерра Голд Инк.», ЗАО «Кумтор Голд Компани» и ЗАО «Кумтор Оперейтинг Компани» от 6 июня 2009 года (далее - ПИС);</w:t>
      </w:r>
    </w:p>
    <w:p>
      <w:pPr>
        <w:spacing w:after="120"/>
        <w:jc w:val="both"/>
      </w:pPr>
      <w:r>
        <w:rPr>
          <w:rFonts w:ascii="Arial" w:cs="Arial" w:eastAsia="Arial" w:hAnsi="Arial"/>
          <w:sz w:val="24"/>
          <w:szCs w:val="24"/>
        </w:rPr>
        <w:t xml:space="preserve">Руководствуясь доброй волей, Стороны договорились о нижеследующем:</w:t>
      </w:r>
    </w:p>
    <w:p>
      <w:pPr>
        <w:spacing w:after="120"/>
        <w:jc w:val="both"/>
      </w:pPr>
      <w:r>
        <w:rPr>
          <w:rFonts w:ascii="Arial" w:cs="Arial" w:eastAsia="Arial" w:hAnsi="Arial"/>
          <w:sz w:val="24"/>
          <w:szCs w:val="24"/>
        </w:rPr>
        <w:t xml:space="preserve">1. Относительно применения статей 5.2 «Налог на Валовой Доход», 5.3 (Ь) «Ежегодная Сумма», и 5.3 (с) «Иссык - Кульский Взнос» ПИС:</w:t>
      </w:r>
    </w:p>
    <w:p>
      <w:pPr>
        <w:spacing w:after="120"/>
        <w:jc w:val="both"/>
      </w:pPr>
      <w:r>
        <w:rPr>
          <w:rFonts w:ascii="Arial" w:cs="Arial" w:eastAsia="Arial" w:hAnsi="Arial"/>
          <w:sz w:val="24"/>
          <w:szCs w:val="24"/>
        </w:rPr>
        <w:t xml:space="preserve">1.1. ЗАО «Кумтор Голд Компани» будет оплачивать Налог на Валовой Доход, Иссык-Кульский Взнос, Ежегодную Сумму и иные обязательные платежи с Валового Дохода, предусмотренные ПИС, в национальной валюте Кыргызской Республики - кыргызских сомах, рассчитывая налоговые и иные обязательства, используя официальный курс Национального банка Кыргызской Республики, установленный на дату возникновения налогового обязательства в соответствии с ПИС. Условие, определенное данным пунктом, применяется в отношении указанных в настоящем пункте налоговых и иных обязательств ЗАО «Кумтор Голд Компани», возникших в период временного внешнего управления, а также всех ранее неисполненных ЗАО «Кумтор Голд Компани» налоговых обязательств, возникших до периода временного внешнего управления. Условие, определенное настоящим пунктом, также применяется к платежам, предусмотренным Стратегическим соглашением по защите окружающей среды и развитию инвестиций между Правительством Кыргызской Республики, компанией «Центерра Голд Инк.», ЗАО «Кумтор Голд Компани» и ЗАО «Кумтор Оперейтинг Компани» от 1 1 сентября 2017 года и Односторонним обязательством от 7 августа 2019 года.</w:t>
      </w:r>
    </w:p>
    <w:p>
      <w:pPr>
        <w:spacing w:after="120"/>
        <w:jc w:val="both"/>
      </w:pPr>
      <w:r>
        <w:rPr>
          <w:rFonts w:ascii="Arial" w:cs="Arial" w:eastAsia="Arial" w:hAnsi="Arial"/>
          <w:sz w:val="24"/>
          <w:szCs w:val="24"/>
        </w:rPr>
        <w:t xml:space="preserve">1.2. С учетом пункта 1.1. настоящего Соглашения ЗАО «Кумтор Голд Компани» имеет право на досрочное исполнение любых налоговых обязательств, вытекающих из ПИС.</w:t>
      </w:r>
    </w:p>
    <w:p>
      <w:pPr>
        <w:spacing w:after="120"/>
        <w:jc w:val="both"/>
      </w:pPr>
      <w:r>
        <w:rPr>
          <w:rFonts w:ascii="Arial" w:cs="Arial" w:eastAsia="Arial" w:hAnsi="Arial"/>
          <w:sz w:val="24"/>
          <w:szCs w:val="24"/>
        </w:rPr>
        <w:t xml:space="preserve">2. Условия настоящего Соглашения применяются в отношении всего периода временного внешнего управления в ЗАО «Кумтор Голд Компани», введенного согласно распоряжению Кабинета Министров Кыргызской Республики от 17 мая 2021 года   № 2-р.</w:t>
      </w:r>
    </w:p>
    <w:p>
      <w:pPr>
        <w:spacing w:after="120"/>
        <w:jc w:val="both"/>
      </w:pPr>
      <w:r>
        <w:rPr>
          <w:rFonts w:ascii="Arial" w:cs="Arial" w:eastAsia="Arial" w:hAnsi="Arial"/>
          <w:sz w:val="24"/>
          <w:szCs w:val="24"/>
        </w:rPr>
        <w:t xml:space="preserve">3. Настоящее Соглашение вступает в силу с даты подписания Сторонами.</w:t>
      </w:r>
    </w:p>
    <w:p>
      <w:pPr>
        <w:spacing w:after="120"/>
        <w:jc w:val="both"/>
      </w:pPr>
      <w:r>
        <w:rPr>
          <w:rFonts w:ascii="Arial" w:cs="Arial" w:eastAsia="Arial" w:hAnsi="Arial"/>
          <w:sz w:val="24"/>
          <w:szCs w:val="24"/>
        </w:rPr>
        <w:t xml:space="preserve">4. Настоящее Соглашение заключено в шести подлинниках, из которых два экземпляра на кыргызском языке, два экземпляра на русском языке и два экземпляра на английском языке. Каждая Сторона должна получить по одному экземпляру на кыргызском, русском и английском языках. Тексты на трех языках имеют одинаковую силу для всех Сторон, однако при условии, что при решении вопросов, затрагивающих лица за пределами Кыргызской Республики и в случае арбитража, будет использоваться текст на английском языке.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36"/>
        <w:gridCol w:w="6342"/>
      </w:tblGrid>
      <w:tr>
        <w:tc>
          <w:tcPr>
            <w:tcW w:type="dxa" w:w="383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Кабинет Министров Кыргызской Республики</w:t>
            </w:r>
          </w:p>
        </w:tc>
        <w:tc>
          <w:tcPr>
            <w:tcW w:type="dxa" w:w="634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лица ЗАО «Кумтор Голд Компани» временный внешний управляющий ОАО «Национальная Холдинговая Компания «Наследие Великих Кочевников»</w:t>
            </w:r>
          </w:p>
        </w:tc>
      </w:tr>
      <w:tr>
        <w:tc>
          <w:tcPr>
            <w:tcW w:type="dxa" w:w="3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Ф.И.О.:</w:t>
            </w:r>
          </w:p>
        </w:tc>
        <w:tc>
          <w:tcPr>
            <w:tcW w:type="dxa" w:w="6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w:t>
            </w:r>
          </w:p>
        </w:tc>
      </w:tr>
      <w:tr>
        <w:tc>
          <w:tcPr>
            <w:tcW w:type="dxa" w:w="3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Должность:</w:t>
            </w:r>
          </w:p>
        </w:tc>
        <w:tc>
          <w:tcPr>
            <w:tcW w:type="dxa" w:w="6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Должность:</w:t>
            </w:r>
          </w:p>
        </w:tc>
      </w:tr>
      <w:tr>
        <w:tc>
          <w:tcPr>
            <w:tcW w:type="dxa" w:w="3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right"/>
      </w:pPr>
      <w:r>
        <w:rPr>
          <w:rFonts w:ascii="Arial" w:cs="Arial" w:eastAsia="Arial" w:hAnsi="Arial"/>
          <w:sz w:val="24"/>
          <w:szCs w:val="24"/>
        </w:rPr>
        <w:t xml:space="preserve">Appendix</w:t>
      </w:r>
    </w:p>
    <w:p>
      <w:pPr>
        <w:spacing w:after="120"/>
        <w:jc w:val="center"/>
      </w:pPr>
      <w:r>
        <w:rPr>
          <w:rFonts w:ascii="Arial" w:cs="Arial" w:eastAsia="Arial" w:hAnsi="Arial"/>
          <w:b/>
          <w:bCs/>
          <w:sz w:val="24"/>
          <w:szCs w:val="24"/>
        </w:rPr>
        <w:t xml:space="preserve">IN</w:t>
      </w:r>
      <w:r>
        <w:rPr>
          <w:rFonts w:ascii="Arial" w:cs="Arial" w:eastAsia="Arial" w:hAnsi="Arial"/>
          <w:b/>
          <w:bCs/>
          <w:sz w:val="24"/>
          <w:szCs w:val="24"/>
        </w:rPr>
        <w:t xml:space="preserve">T</w:t>
      </w:r>
      <w:r>
        <w:rPr>
          <w:rFonts w:ascii="Arial" w:cs="Arial" w:eastAsia="Arial" w:hAnsi="Arial"/>
          <w:b/>
          <w:bCs/>
          <w:sz w:val="24"/>
          <w:szCs w:val="24"/>
        </w:rPr>
        <w:t xml:space="preserve">ERIM AGREEM</w:t>
      </w:r>
      <w:r>
        <w:rPr>
          <w:rFonts w:ascii="Arial" w:cs="Arial" w:eastAsia="Arial" w:hAnsi="Arial"/>
          <w:b/>
          <w:bCs/>
          <w:sz w:val="24"/>
          <w:szCs w:val="24"/>
        </w:rPr>
        <w:t xml:space="preserve">E</w:t>
      </w:r>
      <w:r>
        <w:rPr>
          <w:rFonts w:ascii="Arial" w:cs="Arial" w:eastAsia="Arial" w:hAnsi="Arial"/>
          <w:b/>
          <w:bCs/>
          <w:sz w:val="24"/>
          <w:szCs w:val="24"/>
        </w:rPr>
        <w:t xml:space="preserve">N</w:t>
      </w:r>
      <w:r>
        <w:rPr>
          <w:rFonts w:ascii="Arial" w:cs="Arial" w:eastAsia="Arial" w:hAnsi="Arial"/>
          <w:b/>
          <w:bCs/>
          <w:sz w:val="24"/>
          <w:szCs w:val="24"/>
        </w:rPr>
        <w:t xml:space="preserve">T</w:t>
      </w:r>
    </w:p>
    <w:p>
      <w:pPr>
        <w:spacing w:after="120"/>
        <w:jc w:val="both"/>
      </w:pPr>
      <w:r>
        <w:rPr>
          <w:rFonts w:ascii="Arial" w:cs="Arial" w:eastAsia="Arial" w:hAnsi="Arial"/>
          <w:b/>
          <w:bCs/>
          <w:sz w:val="24"/>
          <w:szCs w:val="24"/>
        </w:rPr>
        <w:t xml:space="preserve"> _______</w:t>
      </w:r>
      <w:r>
        <w:rPr>
          <w:rFonts w:ascii="Arial" w:cs="Arial" w:eastAsia="Arial" w:hAnsi="Arial"/>
          <w:b/>
          <w:bCs/>
          <w:sz w:val="24"/>
          <w:szCs w:val="24"/>
        </w:rPr>
        <w:t xml:space="preserve">_"</w:t>
      </w:r>
      <w:r>
        <w:rPr>
          <w:rFonts w:ascii="Arial" w:cs="Arial" w:eastAsia="Arial" w:hAnsi="Arial"/>
          <w:b/>
          <w:bCs/>
          <w:sz w:val="24"/>
          <w:szCs w:val="24"/>
        </w:rPr>
        <w:t xml:space="preserve">___</w:t>
      </w:r>
      <w:r>
        <w:rPr>
          <w:rFonts w:ascii="Arial" w:cs="Arial" w:eastAsia="Arial" w:hAnsi="Arial"/>
          <w:b/>
          <w:bCs/>
          <w:sz w:val="24"/>
          <w:szCs w:val="24"/>
        </w:rPr>
        <w:t xml:space="preserve">_2022</w:t>
      </w:r>
    </w:p>
    <w:p>
      <w:pPr>
        <w:spacing w:after="120"/>
        <w:jc w:val="both"/>
      </w:pPr>
      <w:r>
        <w:rPr>
          <w:rFonts w:ascii="Arial" w:cs="Arial" w:eastAsia="Arial" w:hAnsi="Arial"/>
          <w:sz w:val="24"/>
          <w:szCs w:val="24"/>
        </w:rPr>
        <w:t xml:space="preserve">This Interim Agreement on the fulfillment of tax and other obligations by the Kumtor Gold Company CJSC (hereinafter referred to as the Agreement) in the national currency of the Kyrgyz Republic is concluded between the Cabinet of Ministers of the Kyrgyz Republic (hereinafter referred to as the Cabinet of Ministers) and the Kumtor Gold Company CJSC represented by its Temporary External Manager, the National Holding Company "Great Nomads Heritage'* Joint-Stock Company, in accordance with Clause 2 of the Order of the Cabinet of Ministers of the Kyrgyz Republic No. 133, dated February II, 2022, collectively referred to as the Parties and individually as the Party.</w:t>
      </w:r>
    </w:p>
    <w:p>
      <w:pPr>
        <w:spacing w:after="120"/>
        <w:jc w:val="both"/>
      </w:pPr>
      <w:r>
        <w:rPr>
          <w:rFonts w:ascii="Arial" w:cs="Arial" w:eastAsia="Arial" w:hAnsi="Arial"/>
          <w:sz w:val="24"/>
          <w:szCs w:val="24"/>
        </w:rPr>
        <w:t xml:space="preserve">Whereas, according to the Restated Gold and Silver Sale Agreement among the Government of the Kyrgyz Republic on behalf of the Kyrgyz Republic, Centerra Gold Inc., Kumtor Gold Company CJSC and Kumtor Operating Company CJSC dated June 0, 2009 (hereinafter referred to as the RCiSSA), all payment amounts for products shall be paid to Kumtor Gold Company CJSC in US dollars;</w:t>
      </w:r>
    </w:p>
    <w:p>
      <w:pPr>
        <w:spacing w:after="120"/>
        <w:jc w:val="both"/>
      </w:pPr>
      <w:r>
        <w:rPr>
          <w:rFonts w:ascii="Arial" w:cs="Arial" w:eastAsia="Arial" w:hAnsi="Arial"/>
          <w:sz w:val="24"/>
          <w:szCs w:val="24"/>
        </w:rPr>
        <w:t xml:space="preserve">Whereas, the terms of the Supplementary Agreement to the RGSSA, approved by the Decree No. 207 of the Cabinet of Ministers of the Kyrgyz Republic, dated October 8, 2021, which provides, among other things, that all amounts for the products shall be paid to Kumtor Gold Company CJSC in the national currency (Kyrgyz soms);</w:t>
      </w:r>
    </w:p>
    <w:p>
      <w:pPr>
        <w:spacing w:after="120"/>
        <w:jc w:val="both"/>
      </w:pPr>
      <w:r>
        <w:rPr>
          <w:rFonts w:ascii="Arial" w:cs="Arial" w:eastAsia="Arial" w:hAnsi="Arial"/>
          <w:sz w:val="24"/>
          <w:szCs w:val="24"/>
        </w:rPr>
        <w:t xml:space="preserve">Whereas, the provisions of Article 307 of the Civil Code of the Kyrgyz Republic and Article 31 of the Law of the Kyrgyz Republic "On the National Bank of the Kyrgyz Republic, Banks and Banking Activities", which established the national currency - the Kyrgyz som as the only legal tender throughout the territory of the Kyrgyz Republic, mandatory for acceptance without restrictions on all types of payments;</w:t>
      </w:r>
    </w:p>
    <w:p>
      <w:pPr>
        <w:spacing w:after="120"/>
        <w:jc w:val="both"/>
      </w:pPr>
      <w:r>
        <w:rPr>
          <w:rFonts w:ascii="Arial" w:cs="Arial" w:eastAsia="Arial" w:hAnsi="Arial"/>
          <w:sz w:val="24"/>
          <w:szCs w:val="24"/>
        </w:rPr>
        <w:t xml:space="preserve">Whereas, the provisions of the Tax Code of the Kyrgyz Republic, which recognizes the national currency - the Kyrgyz som as the only means of payment for taxes;</w:t>
      </w:r>
    </w:p>
    <w:p>
      <w:pPr>
        <w:spacing w:after="120"/>
        <w:jc w:val="both"/>
      </w:pPr>
      <w:r>
        <w:rPr>
          <w:rFonts w:ascii="Arial" w:cs="Arial" w:eastAsia="Arial" w:hAnsi="Arial"/>
          <w:sz w:val="24"/>
          <w:szCs w:val="24"/>
        </w:rPr>
        <w:t xml:space="preserve">With a view to apply the provisions of the Restated Investment Agreement among the Government of the Kyrgyz Republic on behalf of the Kyrgyz Republic, Centerra Gold Inc.. "Kumtor Gold Company" Closed Joint Stock Company and "Kumtor Operating Company" Closed Joint Stock Company, dated June 6, 2009 (hereinafter referred to as the RIA);</w:t>
      </w:r>
    </w:p>
    <w:p>
      <w:pPr>
        <w:spacing w:after="120"/>
        <w:jc w:val="both"/>
      </w:pPr>
      <w:r>
        <w:rPr>
          <w:rFonts w:ascii="Arial" w:cs="Arial" w:eastAsia="Arial" w:hAnsi="Arial"/>
          <w:sz w:val="24"/>
          <w:szCs w:val="24"/>
        </w:rPr>
        <w:t xml:space="preserve">In good faith, the Parties agreed as follows: 1. Regarding the application of the RIA sections 5.2 "Gross Proceeds Tax.", 5.3 (b) "Annual Amount", and 5.3 (c) "Issyk-Kul Contribution":</w:t>
      </w:r>
    </w:p>
    <w:p>
      <w:pPr>
        <w:spacing w:after="120"/>
        <w:jc w:val="both"/>
      </w:pPr>
      <w:r>
        <w:rPr>
          <w:rFonts w:ascii="Arial" w:cs="Arial" w:eastAsia="Arial" w:hAnsi="Arial"/>
          <w:sz w:val="24"/>
          <w:szCs w:val="24"/>
        </w:rPr>
        <w:t xml:space="preserve">1.1. Kumtor Gold Company CJSC will pay the Gross Proceeds Tax, the Issyk-Kul Contribution, the Annual Amount and other mandatory</w:t>
      </w:r>
    </w:p>
    <w:p>
      <w:pPr>
        <w:spacing w:after="120"/>
        <w:jc w:val="both"/>
      </w:pPr>
      <w:r>
        <w:rPr>
          <w:rFonts w:ascii="Arial" w:cs="Arial" w:eastAsia="Arial" w:hAnsi="Arial"/>
          <w:sz w:val="24"/>
          <w:szCs w:val="24"/>
        </w:rPr>
        <w:t xml:space="preserve">payments from Gross Proceeds provided for by the RIA in the national currency of the Kyrgyz Republic - Kyrgyz som, calculating tax and other obligations using the official exchange rate of the National Bank of the Kyrgyz Republic established on the date of occurrence of the tax obligation in accordance with the RIA. The condition set forth in this paragraph shall apply to the tax and other obligations of Kumtor Gold Company CJSC specified in this paragraph that arose during the period of temporary external management, as well as all previously unfulfilled lax obligations of Kumtor Gold Company CJSC that arose before the period of temporary external management. The condition set fort.i by this paragraph shall also apply to payments under the Strategic Agreement on Environmental Protection and Investment Promotion among the Government of the Kyrgyz Republic, Centerra Gold Inc., Kumtor Gold Company CJSC and Kumtor Operating Company CJSC dated September 1 1, 2017, and the Poll Deed dated August 7, 201().</w:t>
      </w:r>
    </w:p>
    <w:p>
      <w:pPr>
        <w:spacing w:after="120"/>
        <w:jc w:val="both"/>
      </w:pPr>
      <w:r>
        <w:rPr>
          <w:rFonts w:ascii="Arial" w:cs="Arial" w:eastAsia="Arial" w:hAnsi="Arial"/>
          <w:sz w:val="24"/>
          <w:szCs w:val="24"/>
        </w:rPr>
        <w:t xml:space="preserve">1.2. Subject to clause 1.1. of this Agreement, Kumtor Gold Company CJSC has the right to early fulfillment of any tax obligations arising from the RIA.</w:t>
      </w:r>
    </w:p>
    <w:p>
      <w:pPr>
        <w:spacing w:after="120"/>
        <w:jc w:val="both"/>
      </w:pPr>
      <w:r>
        <w:rPr>
          <w:rFonts w:ascii="Arial" w:cs="Arial" w:eastAsia="Arial" w:hAnsi="Arial"/>
          <w:sz w:val="24"/>
          <w:szCs w:val="24"/>
        </w:rPr>
        <w:t xml:space="preserve">2. The terms of this Agreement shall apply to the entire period of temporary external management introduced in Kumtor Gold Company CJSC pursuant to the Order of the Cabinet of Ministers of the Kyrgyz Republic No. 2-r dated May I 7, 2021.</w:t>
      </w:r>
    </w:p>
    <w:p>
      <w:pPr>
        <w:spacing w:after="120"/>
        <w:jc w:val="both"/>
      </w:pPr>
      <w:r>
        <w:rPr>
          <w:rFonts w:ascii="Arial" w:cs="Arial" w:eastAsia="Arial" w:hAnsi="Arial"/>
          <w:sz w:val="24"/>
          <w:szCs w:val="24"/>
        </w:rPr>
        <w:t xml:space="preserve">3. This Agreement shall come into effect on the date of its signing by the Parties.</w:t>
      </w:r>
    </w:p>
    <w:p>
      <w:pPr>
        <w:spacing w:after="120"/>
        <w:jc w:val="both"/>
      </w:pPr>
      <w:r>
        <w:rPr>
          <w:rFonts w:ascii="Arial" w:cs="Arial" w:eastAsia="Arial" w:hAnsi="Arial"/>
          <w:sz w:val="24"/>
          <w:szCs w:val="24"/>
        </w:rPr>
        <w:t xml:space="preserve">4. This Agreement is concluded in six original counterparts, of which two copies are in Kyrgyz, two copies are in Russian and two copies are in English. Each Party shall receive one copy in Kyrgyz, Russian and English. The texts in all three languages are equally valid for all the Parties, provided, however, that the English text will be used in resolving issues affecting persons outside the  Kyrgyz  Republic  and  in  the case of</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arbitration.</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CABINET OF MINISTERS</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On behalf of KUMTOR (.Oil)</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OF THE KYRGYZ REPUBLIC</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COMPANY CISC</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Temporary External Manager,</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National Holding Com pan}</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"(.reat Nomads Heritage" IS(</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Full name:</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Full name:</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Position:</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Position:</w:t>
            </w:r>
          </w:p>
        </w:tc>
      </w:tr>
    </w:tbl>
    <w:p>
      <w:pPr>
        <w:spacing w:after="6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35oxcsbixm2baw_pt2c3">
      <w:r>
        <w:rPr>
          <w:rFonts w:ascii="Arial" w:cs="Arial" w:eastAsia="Arial" w:hAnsi="Arial"/>
          <w:color w:val="132D3F"/>
          <w:sz w:val="16"/>
          <w:szCs w:val="16"/>
          <w:u w:val="single"/>
        </w:rPr>
        <w:t xml:space="preserve">dalil.kg/document/218945</w:t>
      </w:r>
    </w:hyperlink>
  </w:p>
  <w:p>
    <w:pPr>
      <w:spacing w:after="0" w:before="40"/>
      <w:jc w:val="center"/>
    </w:pPr>
    <w:hyperlink w:history="1" r:id="rIdn_xqjripevrdikg3ys85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abpmtlnn1uumzy_l8pby" Type="http://schemas.openxmlformats.org/officeDocument/2006/relationships/hyperlink" Target="https://dalil.kg/document/218945#pr" TargetMode="External"/><Relationship Id="rIdqwj4ic_vgvfng8zxpcbao" Type="http://schemas.openxmlformats.org/officeDocument/2006/relationships/hyperlink" Target="https://dalil.kg/document/218945#pr" TargetMode="External"/><Relationship Id="rIdszj4zrenmiujemhx2uzqk" Type="http://schemas.openxmlformats.org/officeDocument/2006/relationships/hyperlink" Target="https://dalil.kg/document/218856" TargetMode="External"/><Relationship Id="rIdwau60hrv7z9snvg1niif5" Type="http://schemas.openxmlformats.org/officeDocument/2006/relationships/hyperlink" Target="https://dalil.kg/document/4#st_307" TargetMode="External"/><Relationship Id="rIdfw1gzdy6pj4pns5tsphcw" Type="http://schemas.openxmlformats.org/officeDocument/2006/relationships/hyperlink" Target="https://dalil.kg/document/111486#st_31"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35oxcsbixm2baw_pt2c3" Type="http://schemas.openxmlformats.org/officeDocument/2006/relationships/hyperlink" Target="https://dalil.kg/document/218945" TargetMode="External"/><Relationship Id="rIdn_xqjripevrdikg3ys85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2026-09-30T14:05:33.731Z</dcterms:created>
  <dcterms:modified xsi:type="dcterms:W3CDTF">2026-09-30T14:05:33.731Z</dcterms:modified>
</cp:coreProperties>
</file>

<file path=docProps/custom.xml><?xml version="1.0" encoding="utf-8"?>
<Properties xmlns="http://schemas.openxmlformats.org/officeDocument/2006/custom-properties" xmlns:vt="http://schemas.openxmlformats.org/officeDocument/2006/docPropsVTypes"/>
</file>