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240"/>
        <w:jc w:val="both"/>
      </w:pPr>
      <w:r>
        <w:rPr>
          <w:rFonts w:ascii="Arial" w:cs="Arial" w:eastAsia="Arial" w:hAnsi="Arial"/>
          <w:sz w:val="24"/>
          <w:szCs w:val="24"/>
        </w:rPr>
        <w:t xml:space="preserve">от 26 апреля 2022 года № 226-р</w:t>
      </w:r>
    </w:p>
    <w:p>
      <w:pPr>
        <w:spacing w:after="120"/>
        <w:ind w:firstLine="397"/>
        <w:jc w:val="both"/>
      </w:pPr>
      <w:r>
        <w:rPr>
          <w:rFonts w:ascii="Arial" w:cs="Arial" w:eastAsia="Arial" w:hAnsi="Arial"/>
          <w:sz w:val="24"/>
          <w:szCs w:val="24"/>
        </w:rPr>
        <w:t xml:space="preserve">В соответствии с </w:t>
      </w:r>
      <w:hyperlink w:history="1" r:id="rIdpduj2ikmnunbciqhqgn1r">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k1im8nm7hdkdpr3wavafv">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iam-vrxo2luiezk1w81sc">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ind w:firstLine="397"/>
        <w:jc w:val="both"/>
      </w:pPr>
      <w:r>
        <w:rPr>
          <w:rFonts w:ascii="Arial" w:cs="Arial" w:eastAsia="Arial" w:hAnsi="Arial"/>
          <w:sz w:val="24"/>
          <w:szCs w:val="24"/>
        </w:rPr>
        <w:t xml:space="preserve">1. Одобрить прилагаемый на официальном языке (неофициальный перевод) </w:t>
      </w:r>
      <w:hyperlink w:history="1" r:id="rIdsxqsefq-wddmn773kk6t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Письма-соглашения о внесении изменений и дополнений в Соглашение о финансировании между Кыргызской Республикой и Европейским инвестиционным банком (Передача электроэнергии Центральная Азия - Южная Азия), подписанное 2 октября 2015 года в городе Люксембург.</w:t>
      </w:r>
    </w:p>
    <w:p>
      <w:pPr>
        <w:spacing w:after="120"/>
        <w:ind w:firstLine="397"/>
        <w:jc w:val="both"/>
      </w:pPr>
      <w:r>
        <w:rPr>
          <w:rFonts w:ascii="Arial" w:cs="Arial" w:eastAsia="Arial" w:hAnsi="Arial"/>
          <w:sz w:val="24"/>
          <w:szCs w:val="24"/>
        </w:rPr>
        <w:t xml:space="preserve">2. Уполномочить министра финансов Кыргызской Республики на подписание Письма-соглашения, указанного в пункте 1 настоящего распоряжения,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60"/>
        <w:ind w:firstLine="567"/>
        <w:jc w:val="right"/>
      </w:pPr>
      <w:r>
        <w:rPr>
          <w:rFonts w:ascii="Arial" w:cs="Arial" w:eastAsia="Arial" w:hAnsi="Arial"/>
          <w:sz w:val="24"/>
          <w:szCs w:val="24"/>
        </w:rPr>
        <w:t xml:space="preserve">Неофициальный перевод</w:t>
      </w:r>
    </w:p>
    <w:p>
      <w:pPr>
        <w:spacing w:after="60"/>
        <w:ind w:firstLine="567"/>
        <w:jc w:val="right"/>
      </w:pPr>
      <w:r>
        <w:rPr>
          <w:rFonts w:ascii="Arial" w:cs="Arial" w:eastAsia="Arial" w:hAnsi="Arial"/>
          <w:sz w:val="24"/>
          <w:szCs w:val="24"/>
        </w:rPr>
        <w:t xml:space="preserve">№ 2: 16 февраля 2022 года</w:t>
      </w:r>
    </w:p>
    <w:p>
      <w:pPr>
        <w:spacing w:after="60" w:before="200"/>
        <w:ind w:firstLine="567"/>
        <w:jc w:val="both"/>
      </w:pPr>
      <w:r>
        <w:rPr>
          <w:rFonts w:ascii="Arial" w:cs="Arial" w:eastAsia="Arial" w:hAnsi="Arial"/>
          <w:b/>
          <w:bCs/>
          <w:sz w:val="24"/>
          <w:szCs w:val="24"/>
        </w:rPr>
        <w:t xml:space="preserve">Подлежит изучению и утверждению со стороны руководства ЕИБ</w:t>
      </w:r>
    </w:p>
    <w:p>
      <w:pPr>
        <w:spacing w:after="60"/>
        <w:ind w:firstLine="567"/>
        <w:jc w:val="both"/>
      </w:pPr>
      <w:r>
        <w:rPr>
          <w:rFonts w:ascii="Arial" w:cs="Arial" w:eastAsia="Arial" w:hAnsi="Arial"/>
          <w:sz w:val="24"/>
          <w:szCs w:val="24"/>
        </w:rPr>
        <w:t xml:space="preserve">Направлено курьерской службой и по электронной почте</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720040, г.Бишкек пр.Эркиндик, д.58</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Для сведения: Департамента международного сотрудничества</w:t>
      </w:r>
    </w:p>
    <w:p>
      <w:pPr>
        <w:spacing w:after="60"/>
        <w:ind w:firstLine="567"/>
        <w:jc w:val="both"/>
      </w:pPr>
      <w:r>
        <w:rPr>
          <w:rFonts w:ascii="Arial" w:cs="Arial" w:eastAsia="Arial" w:hAnsi="Arial"/>
          <w:sz w:val="24"/>
          <w:szCs w:val="24"/>
        </w:rPr>
        <w:t xml:space="preserve">Люксембург, [•] 2022                                                 JUOPS2/OEU-B/[•]</w:t>
      </w:r>
    </w:p>
    <w:p>
      <w:pPr>
        <w:spacing w:after="60"/>
        <w:ind w:firstLine="567"/>
        <w:jc w:val="both"/>
      </w:pPr>
      <w:r>
        <w:rPr>
          <w:rFonts w:ascii="Arial" w:cs="Arial" w:eastAsia="Arial" w:hAnsi="Arial"/>
          <w:b/>
          <w:bCs/>
          <w:sz w:val="24"/>
          <w:szCs w:val="24"/>
        </w:rPr>
        <w:t xml:space="preserve">Тема:</w:t>
      </w:r>
      <w:r>
        <w:rPr>
          <w:rFonts w:ascii="Arial" w:cs="Arial" w:eastAsia="Arial" w:hAnsi="Arial"/>
          <w:sz w:val="24"/>
          <w:szCs w:val="24"/>
        </w:rPr>
        <w:t xml:space="preserve"> передача электроэнергии в странах Центральной Азии и Южной Азии</w:t>
      </w:r>
    </w:p>
    <w:p>
      <w:pPr>
        <w:spacing w:after="60"/>
        <w:ind w:firstLine="567"/>
        <w:jc w:val="both"/>
      </w:pPr>
      <w:r>
        <w:rPr>
          <w:rFonts w:ascii="Arial" w:cs="Arial" w:eastAsia="Arial" w:hAnsi="Arial"/>
          <w:b/>
          <w:bCs/>
          <w:sz w:val="24"/>
          <w:szCs w:val="24"/>
        </w:rPr>
        <w:t xml:space="preserve">(Serapis 2014-0106; FI No. 84.762)</w:t>
      </w:r>
    </w:p>
    <w:p>
      <w:pPr>
        <w:spacing w:after="60"/>
        <w:ind w:firstLine="567"/>
        <w:jc w:val="both"/>
      </w:pPr>
      <w:r>
        <w:rPr>
          <w:rFonts w:ascii="Arial" w:cs="Arial" w:eastAsia="Arial" w:hAnsi="Arial"/>
          <w:sz w:val="24"/>
          <w:szCs w:val="24"/>
        </w:rPr>
        <w:t xml:space="preserve">Соглашение о финансировании между Кыргызской Республикой (</w:t>
      </w:r>
      <w:r>
        <w:rPr>
          <w:rFonts w:ascii="Arial" w:cs="Arial" w:eastAsia="Arial" w:hAnsi="Arial"/>
          <w:b/>
          <w:bCs/>
          <w:sz w:val="24"/>
          <w:szCs w:val="24"/>
        </w:rPr>
        <w:t xml:space="preserve">"Заемщик"</w:t>
      </w:r>
      <w:r>
        <w:rPr>
          <w:rFonts w:ascii="Arial" w:cs="Arial" w:eastAsia="Arial" w:hAnsi="Arial"/>
          <w:sz w:val="24"/>
          <w:szCs w:val="24"/>
        </w:rPr>
        <w:t xml:space="preserve">) и Европейским Инвестиционным Банком (</w:t>
      </w:r>
      <w:r>
        <w:rPr>
          <w:rFonts w:ascii="Arial" w:cs="Arial" w:eastAsia="Arial" w:hAnsi="Arial"/>
          <w:b/>
          <w:bCs/>
          <w:sz w:val="24"/>
          <w:szCs w:val="24"/>
        </w:rPr>
        <w:t xml:space="preserve">"Банк"</w:t>
      </w:r>
      <w:r>
        <w:rPr>
          <w:rFonts w:ascii="Arial" w:cs="Arial" w:eastAsia="Arial" w:hAnsi="Arial"/>
          <w:sz w:val="24"/>
          <w:szCs w:val="24"/>
        </w:rPr>
        <w:t xml:space="preserve">) от 2 октября 2015 года с изменениями и дополнениями (</w:t>
      </w:r>
      <w:r>
        <w:rPr>
          <w:rFonts w:ascii="Arial" w:cs="Arial" w:eastAsia="Arial" w:hAnsi="Arial"/>
          <w:b/>
          <w:bCs/>
          <w:sz w:val="24"/>
          <w:szCs w:val="24"/>
        </w:rPr>
        <w:t xml:space="preserve">"Соглашение о финансировании"</w:t>
      </w:r>
      <w:r>
        <w:rPr>
          <w:rFonts w:ascii="Arial" w:cs="Arial" w:eastAsia="Arial" w:hAnsi="Arial"/>
          <w:sz w:val="24"/>
          <w:szCs w:val="24"/>
        </w:rPr>
        <w:t xml:space="preserve">).</w:t>
      </w:r>
    </w:p>
    <w:p>
      <w:pPr>
        <w:spacing w:after="400" w:before="400"/>
        <w:jc w:val="center"/>
      </w:pPr>
      <w:r>
        <w:rPr>
          <w:rFonts w:ascii="Arial" w:cs="Arial" w:eastAsia="Arial" w:hAnsi="Arial"/>
          <w:b/>
          <w:bCs/>
          <w:sz w:val="32"/>
          <w:szCs w:val="32"/>
        </w:rPr>
        <w:t xml:space="preserve">Письмо об изменениях</w:t>
      </w:r>
    </w:p>
    <w:p>
      <w:pPr>
        <w:spacing w:after="60" w:before="200"/>
        <w:ind w:firstLine="567"/>
        <w:jc w:val="both"/>
      </w:pPr>
      <w:r>
        <w:rPr>
          <w:rFonts w:ascii="Arial" w:cs="Arial" w:eastAsia="Arial" w:hAnsi="Arial"/>
          <w:b/>
          <w:bCs/>
          <w:sz w:val="24"/>
          <w:szCs w:val="24"/>
        </w:rPr>
        <w:t xml:space="preserve">Уважаемые Господа,</w:t>
      </w:r>
    </w:p>
    <w:p>
      <w:pPr>
        <w:spacing w:after="60"/>
        <w:ind w:firstLine="567"/>
        <w:jc w:val="both"/>
      </w:pPr>
      <w:r>
        <w:rPr>
          <w:rFonts w:ascii="Arial" w:cs="Arial" w:eastAsia="Arial" w:hAnsi="Arial"/>
          <w:sz w:val="24"/>
          <w:szCs w:val="24"/>
        </w:rPr>
        <w:t xml:space="preserve">В настоящем письме мы ссылаемся на Соглашение о финансировании. Если иное не определено в настоящем письме об изменениях ("Письмо"), термины, написанные с заглавной буквы, используемые, но не определенные в этом письме, имеют значения, используемые ими в Соглашении о финансировании.</w:t>
      </w:r>
    </w:p>
    <w:p>
      <w:pPr>
        <w:spacing w:after="60"/>
        <w:ind w:firstLine="567"/>
        <w:jc w:val="both"/>
      </w:pPr>
      <w:r>
        <w:rPr>
          <w:rFonts w:ascii="Arial" w:cs="Arial" w:eastAsia="Arial" w:hAnsi="Arial"/>
          <w:sz w:val="24"/>
          <w:szCs w:val="24"/>
        </w:rPr>
        <w:t xml:space="preserve">Мы также ссылаемся на ваш запрос от 12 мая 2021 года касательно продления Окончательной даты использования кредитных средств с 31 декабря 2021 года до 2 декабря 2024 года.</w:t>
      </w:r>
    </w:p>
    <w:p>
      <w:pPr>
        <w:spacing w:after="60"/>
        <w:ind w:firstLine="567"/>
        <w:jc w:val="both"/>
      </w:pPr>
      <w:r>
        <w:rPr>
          <w:rFonts w:ascii="Arial" w:cs="Arial" w:eastAsia="Arial" w:hAnsi="Arial"/>
          <w:sz w:val="24"/>
          <w:szCs w:val="24"/>
        </w:rPr>
        <w:t xml:space="preserve">Мы соглашаемся продлить Окончательную дату использования кредитных средств до 2 декабря 2024 года и изменить соответствующие договорные сроки и другие положения Соглашения о финансировании в соответствии с положениями и условиями, изложенными ниже.</w:t>
      </w:r>
    </w:p>
    <w:p>
      <w:pPr>
        <w:spacing w:after="60" w:before="200"/>
        <w:ind w:firstLine="567"/>
        <w:jc w:val="both"/>
      </w:pPr>
      <w:r>
        <w:rPr>
          <w:rFonts w:ascii="Arial" w:cs="Arial" w:eastAsia="Arial" w:hAnsi="Arial"/>
          <w:b/>
          <w:bCs/>
          <w:sz w:val="24"/>
          <w:szCs w:val="24"/>
        </w:rPr>
        <w:t xml:space="preserve">1. Изменения к Соглашению о финансировании</w:t>
      </w:r>
    </w:p>
    <w:p>
      <w:pPr>
        <w:spacing w:after="60"/>
        <w:ind w:firstLine="567"/>
        <w:jc w:val="both"/>
      </w:pPr>
      <w:r>
        <w:rPr>
          <w:rFonts w:ascii="Arial" w:cs="Arial" w:eastAsia="Arial" w:hAnsi="Arial"/>
          <w:sz w:val="24"/>
          <w:szCs w:val="24"/>
        </w:rPr>
        <w:t xml:space="preserve">Настоящим письмом в Соглашение о финансировании вносятся следующие изменения, действительные со Дня вступления в силу:</w:t>
      </w:r>
    </w:p>
    <w:p>
      <w:pPr>
        <w:spacing w:after="60"/>
        <w:ind w:firstLine="567"/>
        <w:jc w:val="both"/>
      </w:pPr>
      <w:r>
        <w:rPr>
          <w:rFonts w:ascii="Arial" w:cs="Arial" w:eastAsia="Arial" w:hAnsi="Arial"/>
          <w:sz w:val="24"/>
          <w:szCs w:val="24"/>
        </w:rPr>
        <w:t xml:space="preserve">1.1. В разделе определений Соглашения о финансировании определение Окончательной даты использования кредитных средств должно быть изменено следующим образом:</w:t>
      </w:r>
    </w:p>
    <w:p>
      <w:pPr>
        <w:spacing w:after="60"/>
        <w:ind w:firstLine="567"/>
        <w:jc w:val="both"/>
      </w:pPr>
      <w:r>
        <w:rPr>
          <w:rFonts w:ascii="Arial" w:cs="Arial" w:eastAsia="Arial" w:hAnsi="Arial"/>
          <w:b/>
          <w:bCs/>
          <w:sz w:val="24"/>
          <w:szCs w:val="24"/>
        </w:rPr>
        <w:t xml:space="preserve">"Окончательная дата действия"</w:t>
      </w:r>
      <w:r>
        <w:rPr>
          <w:rFonts w:ascii="Arial" w:cs="Arial" w:eastAsia="Arial" w:hAnsi="Arial"/>
          <w:sz w:val="24"/>
          <w:szCs w:val="24"/>
        </w:rPr>
        <w:t xml:space="preserve"> означает 2 декабря 2024 года".</w:t>
      </w:r>
    </w:p>
    <w:p>
      <w:pPr>
        <w:spacing w:after="60"/>
        <w:ind w:firstLine="567"/>
        <w:jc w:val="both"/>
      </w:pPr>
      <w:r>
        <w:rPr>
          <w:rFonts w:ascii="Arial" w:cs="Arial" w:eastAsia="Arial" w:hAnsi="Arial"/>
          <w:sz w:val="24"/>
          <w:szCs w:val="24"/>
        </w:rPr>
        <w:t xml:space="preserve">1.2. Раздел Календарь Приложения А.1. (Техническое описание (Статья 6.02) Соглашения о финансировании должен быть изменен следующим образом:</w:t>
      </w:r>
    </w:p>
    <w:p>
      <w:pPr>
        <w:spacing w:after="60"/>
        <w:ind w:firstLine="567"/>
        <w:jc w:val="both"/>
      </w:pPr>
      <w:r>
        <w:rPr>
          <w:rFonts w:ascii="Arial" w:cs="Arial" w:eastAsia="Arial" w:hAnsi="Arial"/>
          <w:sz w:val="24"/>
          <w:szCs w:val="24"/>
        </w:rPr>
        <w:t xml:space="preserve">"Проект планируется завершить к 31 декабря 2024 года".</w:t>
      </w:r>
    </w:p>
    <w:p>
      <w:pPr>
        <w:spacing w:after="60"/>
        <w:ind w:firstLine="567"/>
        <w:jc w:val="both"/>
      </w:pPr>
      <w:r>
        <w:rPr>
          <w:rFonts w:ascii="Arial" w:cs="Arial" w:eastAsia="Arial" w:hAnsi="Arial"/>
          <w:sz w:val="24"/>
          <w:szCs w:val="24"/>
        </w:rPr>
        <w:t xml:space="preserve">1.3. В графе "Дата подачи в Банк" Раздела 4 Информация об окончании работ и первого года эксплуатации Приложения А.2 Обязательства по передаче информации согласно Статье 8.01 (а) должны быть заменены цифры "31.12.2023" на "31.12.2025". В графе "Дата подачи в Банк" Раздела 5 Информация, требуемая спустя три года после подачи Отчета о завершении Проекта (применимо только за пределами ЕС) Приложения А.2 Обязательства по передаче информации согласно Статье 8.01 (а) должны быть заменены цифры "31.12.2026" на "31.12.2028".</w:t>
      </w:r>
    </w:p>
    <w:p>
      <w:pPr>
        <w:spacing w:after="60"/>
        <w:ind w:firstLine="567"/>
        <w:jc w:val="both"/>
      </w:pPr>
      <w:r>
        <w:rPr>
          <w:rFonts w:ascii="Arial" w:cs="Arial" w:eastAsia="Arial" w:hAnsi="Arial"/>
          <w:sz w:val="24"/>
          <w:szCs w:val="24"/>
        </w:rPr>
        <w:t xml:space="preserve">1.4. Пункты 12.01 и 12.02 Статьи 12 (Заключительные положения) должны быть полностью исключены и заменены пунктами 12.01 и 12.02, изложенными в Приложении 1.</w:t>
      </w:r>
    </w:p>
    <w:p>
      <w:pPr>
        <w:spacing w:after="60"/>
        <w:ind w:firstLine="567"/>
        <w:jc w:val="both"/>
      </w:pPr>
      <w:r>
        <w:rPr>
          <w:rFonts w:ascii="Arial" w:cs="Arial" w:eastAsia="Arial" w:hAnsi="Arial"/>
          <w:sz w:val="24"/>
          <w:szCs w:val="24"/>
        </w:rPr>
        <w:t xml:space="preserve">1.5. Приложение В (Определения EURIBOR) Соглашения о финансировании должно быть полностью удалено и заменено Приложением 2.</w:t>
      </w:r>
    </w:p>
    <w:p>
      <w:pPr>
        <w:spacing w:after="60"/>
        <w:ind w:firstLine="567"/>
        <w:jc w:val="both"/>
      </w:pPr>
      <w:r>
        <w:rPr>
          <w:rFonts w:ascii="Arial" w:cs="Arial" w:eastAsia="Arial" w:hAnsi="Arial"/>
          <w:sz w:val="24"/>
          <w:szCs w:val="24"/>
        </w:rPr>
        <w:t xml:space="preserve">Во избежание сомнений, все остальные положения Соглашения о финансировании:</w:t>
      </w:r>
    </w:p>
    <w:p>
      <w:pPr>
        <w:spacing w:after="60"/>
        <w:ind w:firstLine="567"/>
        <w:jc w:val="both"/>
      </w:pPr>
      <w:r>
        <w:rPr>
          <w:rFonts w:ascii="Arial" w:cs="Arial" w:eastAsia="Arial" w:hAnsi="Arial"/>
          <w:sz w:val="24"/>
          <w:szCs w:val="24"/>
        </w:rPr>
        <w:t xml:space="preserve">(a) остаются в полной силе и действии, и настоящее Письмо является частью Соглашения о финансировании, как если бы изменения, вводимые им в силу, содержались в самом Соглашении о финансировании; и</w:t>
      </w:r>
    </w:p>
    <w:p>
      <w:pPr>
        <w:spacing w:after="60"/>
        <w:ind w:firstLine="567"/>
        <w:jc w:val="both"/>
      </w:pPr>
      <w:r>
        <w:rPr>
          <w:rFonts w:ascii="Arial" w:cs="Arial" w:eastAsia="Arial" w:hAnsi="Arial"/>
          <w:sz w:val="24"/>
          <w:szCs w:val="24"/>
        </w:rPr>
        <w:t xml:space="preserve">(b) применяются без каких-либо оговорок, отказов или ограничений, несмотря на изменения, изложенные в настоящем документе.</w:t>
      </w:r>
    </w:p>
    <w:p>
      <w:pPr>
        <w:spacing w:after="60" w:before="200"/>
        <w:ind w:firstLine="567"/>
        <w:jc w:val="both"/>
      </w:pPr>
      <w:r>
        <w:rPr>
          <w:rFonts w:ascii="Arial" w:cs="Arial" w:eastAsia="Arial" w:hAnsi="Arial"/>
          <w:b/>
          <w:bCs/>
          <w:sz w:val="24"/>
          <w:szCs w:val="24"/>
        </w:rPr>
        <w:t xml:space="preserve">2. Заверения и гарантии</w:t>
      </w:r>
    </w:p>
    <w:p>
      <w:pPr>
        <w:spacing w:after="60"/>
        <w:ind w:firstLine="567"/>
        <w:jc w:val="both"/>
      </w:pPr>
      <w:r>
        <w:rPr>
          <w:rFonts w:ascii="Arial" w:cs="Arial" w:eastAsia="Arial" w:hAnsi="Arial"/>
          <w:sz w:val="24"/>
          <w:szCs w:val="24"/>
        </w:rPr>
        <w:t xml:space="preserve">Заверения и гарантии, которые подтверждаются в соответствии с Пунктом 6.13 (Общие гарантии и заверения) Соглашения о финансировании, считаются подтвержденными (со ссылкой на факты и обстоятельства, существовавшие на тот момент) Заемщиком (i) в день, когда Заемщик подписывает настоящее Письмо, и (ii) в День вступления в силу.</w:t>
      </w:r>
    </w:p>
    <w:p>
      <w:pPr>
        <w:spacing w:after="60" w:before="200"/>
        <w:ind w:firstLine="567"/>
        <w:jc w:val="both"/>
      </w:pPr>
      <w:r>
        <w:rPr>
          <w:rFonts w:ascii="Arial" w:cs="Arial" w:eastAsia="Arial" w:hAnsi="Arial"/>
          <w:b/>
          <w:bCs/>
          <w:sz w:val="24"/>
          <w:szCs w:val="24"/>
        </w:rPr>
        <w:t xml:space="preserve">3. Общие положения</w:t>
      </w:r>
    </w:p>
    <w:p>
      <w:pPr>
        <w:spacing w:after="60"/>
        <w:ind w:firstLine="567"/>
        <w:jc w:val="both"/>
      </w:pPr>
      <w:r>
        <w:rPr>
          <w:rFonts w:ascii="Arial" w:cs="Arial" w:eastAsia="Arial" w:hAnsi="Arial"/>
          <w:sz w:val="24"/>
          <w:szCs w:val="24"/>
        </w:rPr>
        <w:t xml:space="preserve">Положения Пунктов 11.01 (Применимое право) и 11.02 (Арбитраж) Соглашения о финансировании настоящим включены в данное Письмо и становятся его частью, как если бы этот Пункт полностью содержался в Письме, с соответствующими изменениями и (без ущерба для общего характера) как если бы ссылка в нем на "настоящее Соглашение о финансировании" имела формулировку "настоящее Письмо".</w:t>
      </w:r>
    </w:p>
    <w:p>
      <w:pPr>
        <w:spacing w:after="60"/>
        <w:ind w:firstLine="567"/>
        <w:jc w:val="both"/>
      </w:pPr>
      <w:r>
        <w:rPr>
          <w:rFonts w:ascii="Arial" w:cs="Arial" w:eastAsia="Arial" w:hAnsi="Arial"/>
          <w:sz w:val="24"/>
          <w:szCs w:val="24"/>
        </w:rPr>
        <w:t xml:space="preserve">Несмотря на какие-либо положения настоящего документа об обратном, ни одно условие в настоящем Письме или в соглашении, заключенном в результате его принятия Заемщиком, не является оговоркой, отказом от прав или иным изменением каких-либо иммунитетов, привилегий или освобождений от обязанностей, которыми обладает Банк.</w:t>
      </w:r>
    </w:p>
    <w:p>
      <w:pPr>
        <w:spacing w:after="60"/>
        <w:ind w:firstLine="567"/>
        <w:jc w:val="both"/>
      </w:pPr>
      <w:r>
        <w:rPr>
          <w:rFonts w:ascii="Arial" w:cs="Arial" w:eastAsia="Arial" w:hAnsi="Arial"/>
          <w:sz w:val="24"/>
          <w:szCs w:val="24"/>
        </w:rPr>
        <w:t xml:space="preserve">Не предусматриваются какие-либо согласия, оговорки или изменения в рамках настоящего Письма в отношении какого-либо нарушения или неисполнения обязательств (как бы оно ни определялось), предусмотренных Соглашением о финансировании, которое могло возникнуть в результате любых других обстоятельств в любое время, кроме как в отношении вопросов, конкретно изложенных в настоящем документе.</w:t>
      </w:r>
    </w:p>
    <w:p>
      <w:pPr>
        <w:spacing w:after="60"/>
        <w:ind w:firstLine="567"/>
        <w:jc w:val="both"/>
      </w:pPr>
      <w:r>
        <w:rPr>
          <w:rFonts w:ascii="Arial" w:cs="Arial" w:eastAsia="Arial" w:hAnsi="Arial"/>
          <w:sz w:val="24"/>
          <w:szCs w:val="24"/>
        </w:rPr>
        <w:t xml:space="preserve">Соглашение сторон, содержащееся в настоящем Письме, применяется только к вопросам, конкретно упомянутым в нем. Такое соглашение не ущемляет никаких прав, которые Банк или Заемщик могут иметь сейчас или в будущем, в связи с любыми другими обстоятельствами или вопросами, кроме тех, которые конкретно упомянуты в настоящем документе (и независимо от того, существуют ли они на дату его заключения или в иное время).</w:t>
      </w:r>
    </w:p>
    <w:p>
      <w:pPr>
        <w:spacing w:after="60"/>
        <w:ind w:firstLine="567"/>
        <w:jc w:val="both"/>
      </w:pPr>
      <w:r>
        <w:rPr>
          <w:rFonts w:ascii="Arial" w:cs="Arial" w:eastAsia="Arial" w:hAnsi="Arial"/>
          <w:sz w:val="24"/>
          <w:szCs w:val="24"/>
        </w:rPr>
        <w:t xml:space="preserve">Банк не будет взимать комиссию за внесение изменений в условия гарантии в отношении вышеупомянутого предлагаемого изменения. Ни одно положение настоящего Письма не предусматривает какого-либо увеличения финансовых обязательств Заемщика или возложения дополнительных обязательств на Заемщика по Соглашению о финансировании.</w:t>
      </w:r>
    </w:p>
    <w:p>
      <w:pPr>
        <w:spacing w:after="60"/>
        <w:ind w:firstLine="567"/>
        <w:jc w:val="both"/>
      </w:pPr>
      <w:r>
        <w:rPr>
          <w:rFonts w:ascii="Arial" w:cs="Arial" w:eastAsia="Arial" w:hAnsi="Arial"/>
          <w:sz w:val="24"/>
          <w:szCs w:val="24"/>
        </w:rPr>
        <w:t xml:space="preserve">Пожалуйста, подтвердите свое согласие с вышеизложенным, поставив инициалы на первой и второй страницах настоящего Письма, а также подписав и проставив дату на каждом из четырех его оригинальных экземплярах. Затем, пожалуйста, организуйте возврат в Банк двух должным образом подписанных оригиналов заказным письмом или курьерской службой вместе с копиями доверенностей, дающих право подписи лицам, подписавшимся от имени Заемщика, с пометкой "для сведения г-жи Лори Карретт, Юридический отдел". Изменения, изложенные в настоящем Письме, вступают в силу с момента ("Дата вступления в силу"), когда Банк уведомляет вас о получении надлежащим образом подписанных оригиналов настоящего Письма и связанных с ним доказательств.</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С уважением,
 </w:t>
      </w:r>
      <w:r>
        <w:rPr>
          <w:rFonts w:ascii="Arial" w:cs="Arial" w:eastAsia="Arial" w:hAnsi="Arial"/>
          <w:b/>
          <w:bCs/>
          <w:sz w:val="24"/>
          <w:szCs w:val="24"/>
        </w:rPr>
        <w:t xml:space="preserve">ЕВРОПЕЙСКИЙ ИНВЕСТИЦИОННЫЙ БАНК</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                                            [•]</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Согласовано</w:t>
      </w:r>
    </w:p>
    <w:p>
      <w:pPr>
        <w:spacing w:after="60"/>
        <w:ind w:firstLine="567"/>
        <w:jc w:val="both"/>
      </w:pPr>
      <w:r>
        <w:rPr>
          <w:rFonts w:ascii="Arial" w:cs="Arial" w:eastAsia="Arial" w:hAnsi="Arial"/>
          <w:sz w:val="24"/>
          <w:szCs w:val="24"/>
        </w:rPr>
        <w:t xml:space="preserve">за и от имени</w:t>
      </w:r>
    </w:p>
    <w:p>
      <w:pPr>
        <w:spacing w:after="60"/>
        <w:ind w:firstLine="567"/>
        <w:jc w:val="both"/>
      </w:pPr>
      <w:r>
        <w:rPr>
          <w:rFonts w:ascii="Arial" w:cs="Arial" w:eastAsia="Arial" w:hAnsi="Arial"/>
          <w:sz w:val="24"/>
          <w:szCs w:val="24"/>
        </w:rPr>
        <w:t xml:space="preserve">Кыргызской Республики</w:t>
      </w:r>
    </w:p>
    <w:p>
      <w:pPr>
        <w:spacing w:after="60"/>
        <w:ind w:firstLine="567"/>
        <w:jc w:val="both"/>
      </w:pPr>
      <w:r>
        <w:rPr>
          <w:rFonts w:ascii="Arial" w:cs="Arial" w:eastAsia="Arial" w:hAnsi="Arial"/>
          <w:sz w:val="24"/>
          <w:szCs w:val="24"/>
        </w:rPr>
        <w:t xml:space="preserve">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12.01 Уведомления</w:t>
      </w:r>
    </w:p>
    <w:p>
      <w:pPr>
        <w:spacing w:after="60" w:before="200"/>
        <w:ind w:firstLine="567"/>
        <w:jc w:val="both"/>
      </w:pPr>
      <w:r>
        <w:rPr>
          <w:rFonts w:ascii="Arial" w:cs="Arial" w:eastAsia="Arial" w:hAnsi="Arial"/>
          <w:b/>
          <w:bCs/>
          <w:sz w:val="24"/>
          <w:szCs w:val="24"/>
        </w:rPr>
        <w:t xml:space="preserve">12.01 А Форма уведомления</w:t>
      </w:r>
    </w:p>
    <w:p>
      <w:pPr>
        <w:spacing w:after="60"/>
        <w:ind w:firstLine="567"/>
        <w:jc w:val="both"/>
      </w:pPr>
      <w:r>
        <w:rPr>
          <w:rFonts w:ascii="Arial" w:cs="Arial" w:eastAsia="Arial" w:hAnsi="Arial"/>
          <w:sz w:val="24"/>
          <w:szCs w:val="24"/>
        </w:rPr>
        <w:t xml:space="preserve">(a) Любое уведомление или иное сообщение, направляемое по настоящему Соглашению, должно быть совершено в письменной форме и, если не указано иное, может быть направлено по почте, электронной почте.</w:t>
      </w:r>
    </w:p>
    <w:p>
      <w:pPr>
        <w:spacing w:after="60"/>
        <w:ind w:firstLine="567"/>
        <w:jc w:val="both"/>
      </w:pPr>
      <w:r>
        <w:rPr>
          <w:rFonts w:ascii="Arial" w:cs="Arial" w:eastAsia="Arial" w:hAnsi="Arial"/>
          <w:sz w:val="24"/>
          <w:szCs w:val="24"/>
        </w:rPr>
        <w:t xml:space="preserve">(b) Уведомления и иные сообщения, для которых предусмотрены фиксированные сроки в настоящем Соглашении или которые сами устанавливают сроки, обязательные для адресата, могут быть совершены ручной доставкой, заказным письмом или электронной почтой. Такие уведомления и сообщения считаются полученными другой стороной:</w:t>
      </w:r>
    </w:p>
    <w:p>
      <w:pPr>
        <w:spacing w:after="60"/>
        <w:ind w:firstLine="567"/>
        <w:jc w:val="both"/>
      </w:pPr>
      <w:r>
        <w:rPr>
          <w:rFonts w:ascii="Arial" w:cs="Arial" w:eastAsia="Arial" w:hAnsi="Arial"/>
          <w:sz w:val="24"/>
          <w:szCs w:val="24"/>
        </w:rPr>
        <w:t xml:space="preserve">в день доставки в отношении доставленного вручную или заказного письма;</w:t>
      </w:r>
    </w:p>
    <w:p>
      <w:pPr>
        <w:spacing w:after="60"/>
        <w:ind w:firstLine="567"/>
        <w:jc w:val="both"/>
      </w:pPr>
      <w:r>
        <w:rPr>
          <w:rFonts w:ascii="Arial" w:cs="Arial" w:eastAsia="Arial" w:hAnsi="Arial"/>
          <w:sz w:val="24"/>
          <w:szCs w:val="24"/>
        </w:rPr>
        <w:t xml:space="preserve">в случае любой электронной почты, отправляемой Заемщиком в Банк, только в том случае, если она фактически получена в читаемой форме и только если она адресована таким образом, который Банк определит для этой цели, или</w:t>
      </w:r>
    </w:p>
    <w:p>
      <w:pPr>
        <w:spacing w:after="60"/>
        <w:ind w:firstLine="567"/>
        <w:jc w:val="both"/>
      </w:pPr>
      <w:r>
        <w:rPr>
          <w:rFonts w:ascii="Arial" w:cs="Arial" w:eastAsia="Arial" w:hAnsi="Arial"/>
          <w:sz w:val="24"/>
          <w:szCs w:val="24"/>
        </w:rPr>
        <w:t xml:space="preserve">(c) Любое уведомление, направленное Заемщиком в Банк по электронной почте, должно:</w:t>
      </w:r>
    </w:p>
    <w:p>
      <w:pPr>
        <w:spacing w:after="60"/>
        <w:ind w:firstLine="567"/>
        <w:jc w:val="both"/>
      </w:pPr>
      <w:r>
        <w:rPr>
          <w:rFonts w:ascii="Arial" w:cs="Arial" w:eastAsia="Arial" w:hAnsi="Arial"/>
          <w:sz w:val="24"/>
          <w:szCs w:val="24"/>
        </w:rPr>
        <w:t xml:space="preserve">содержать номер Соглашения в строке темы письма; и</w:t>
      </w:r>
    </w:p>
    <w:p>
      <w:pPr>
        <w:spacing w:after="60"/>
        <w:ind w:firstLine="567"/>
        <w:jc w:val="both"/>
      </w:pPr>
      <w:r>
        <w:rPr>
          <w:rFonts w:ascii="Arial" w:cs="Arial" w:eastAsia="Arial" w:hAnsi="Arial"/>
          <w:sz w:val="24"/>
          <w:szCs w:val="24"/>
        </w:rPr>
        <w:t xml:space="preserve">(ii) быть в форме не редактируемого электронного изображения (pdf, tif или другого общего не редактируемого формата файла, согласованного между сторонами) уведомления, подписанного уполномоченным подписантом с правом индивидуального представительства или двумя или более уполномоченными подписантами с правом совместного представительства Заемщика, в зависимости от обстоятельств, прилагаемого к электронной почте.</w:t>
      </w:r>
    </w:p>
    <w:p>
      <w:pPr>
        <w:spacing w:after="60"/>
        <w:ind w:firstLine="567"/>
        <w:jc w:val="both"/>
      </w:pPr>
      <w:r>
        <w:rPr>
          <w:rFonts w:ascii="Arial" w:cs="Arial" w:eastAsia="Arial" w:hAnsi="Arial"/>
          <w:sz w:val="24"/>
          <w:szCs w:val="24"/>
        </w:rPr>
        <w:t xml:space="preserve">(d) Уведомления, выданные Заемщиком в соответствии с любым положением настоящего Соглашения, должны быть, если это требуется Банком, доставлены в Банк вместе с удовлетворительным доказательством полномочий лица или лиц, уполномоченных подписывать такое уведомление от имени Заемщика и заверенные образцы подписи такого лица или лиц.</w:t>
      </w:r>
    </w:p>
    <w:p>
      <w:pPr>
        <w:spacing w:after="60"/>
        <w:ind w:firstLine="567"/>
        <w:jc w:val="both"/>
      </w:pPr>
      <w:r>
        <w:rPr>
          <w:rFonts w:ascii="Arial" w:cs="Arial" w:eastAsia="Arial" w:hAnsi="Arial"/>
          <w:sz w:val="24"/>
          <w:szCs w:val="24"/>
        </w:rPr>
        <w:t xml:space="preserve">(e) Без ущерба для действительности электронных сообщений или сообщений, сделанных в соответствии с настоящей статьей 12.1, следующие уведомления, сообщения и документы также направляются заказным письмом соответствующей стороне не позднее следующего рабочего дня:</w:t>
      </w:r>
    </w:p>
    <w:p>
      <w:pPr>
        <w:spacing w:after="60"/>
        <w:ind w:firstLine="567"/>
        <w:jc w:val="both"/>
      </w:pPr>
      <w:r>
        <w:rPr>
          <w:rFonts w:ascii="Arial" w:cs="Arial" w:eastAsia="Arial" w:hAnsi="Arial"/>
          <w:sz w:val="24"/>
          <w:szCs w:val="24"/>
        </w:rPr>
        <w:t xml:space="preserve">(i) принятие выплат;</w:t>
      </w:r>
    </w:p>
    <w:p>
      <w:pPr>
        <w:spacing w:after="60"/>
        <w:ind w:firstLine="567"/>
        <w:jc w:val="both"/>
      </w:pPr>
      <w:r>
        <w:rPr>
          <w:rFonts w:ascii="Arial" w:cs="Arial" w:eastAsia="Arial" w:hAnsi="Arial"/>
          <w:sz w:val="24"/>
          <w:szCs w:val="24"/>
        </w:rPr>
        <w:t xml:space="preserve">(ii) любые уведомления и сообщения в отношении отсрочки, отмены и приостановки выплаты любого транша, событие срыва рынка, запрос на предоплату, уведомление о предоплате, событие дефолта, любое требование о предоплате и</w:t>
      </w:r>
    </w:p>
    <w:p>
      <w:pPr>
        <w:spacing w:after="60"/>
        <w:ind w:firstLine="567"/>
        <w:jc w:val="both"/>
      </w:pPr>
      <w:r>
        <w:rPr>
          <w:rFonts w:ascii="Arial" w:cs="Arial" w:eastAsia="Arial" w:hAnsi="Arial"/>
          <w:sz w:val="24"/>
          <w:szCs w:val="24"/>
        </w:rPr>
        <w:t xml:space="preserve">(iii) любое другое уведомление, сообщение или документ, требуемые Банком.</w:t>
      </w:r>
    </w:p>
    <w:p>
      <w:pPr>
        <w:spacing w:after="60"/>
        <w:ind w:firstLine="567"/>
        <w:jc w:val="both"/>
      </w:pPr>
      <w:r>
        <w:rPr>
          <w:rFonts w:ascii="Arial" w:cs="Arial" w:eastAsia="Arial" w:hAnsi="Arial"/>
          <w:sz w:val="24"/>
          <w:szCs w:val="24"/>
        </w:rPr>
        <w:t xml:space="preserve">(f) Стороны соглашаются, что любое вышеуказанное сообщение (в том числе по электронной почте) является принятой формой сообщения, является допустимым доказательством в суде и имеет ту же доказательную силу, что и настоящее Соглашение.</w:t>
      </w:r>
    </w:p>
    <w:p>
      <w:pPr>
        <w:spacing w:after="60" w:before="200"/>
        <w:ind w:firstLine="567"/>
        <w:jc w:val="both"/>
      </w:pPr>
      <w:r>
        <w:rPr>
          <w:rFonts w:ascii="Arial" w:cs="Arial" w:eastAsia="Arial" w:hAnsi="Arial"/>
          <w:b/>
          <w:bCs/>
          <w:sz w:val="24"/>
          <w:szCs w:val="24"/>
        </w:rPr>
        <w:t xml:space="preserve">12.01 В Адреса</w:t>
      </w:r>
    </w:p>
    <w:p>
      <w:pPr>
        <w:spacing w:after="60"/>
        <w:ind w:firstLine="567"/>
        <w:jc w:val="both"/>
      </w:pPr>
      <w:r>
        <w:rPr>
          <w:rFonts w:ascii="Arial" w:cs="Arial" w:eastAsia="Arial" w:hAnsi="Arial"/>
          <w:sz w:val="24"/>
          <w:szCs w:val="24"/>
        </w:rPr>
        <w:t xml:space="preserve">Адрес и адрес электронной почты (а также департамент или должностное лицо, если таковое имеется, для сведения которых должно быть сделано сообщение) каждой стороны для любого сообщения, которое должно быть сделано, или документа, который должен быть доставлен в соответствии с настоящим Соглашением или в связи с ним является:</w:t>
      </w:r>
    </w:p>
    <w:p>
      <w:pPr>
        <w:spacing w:after="60" w:before="120"/>
        <w:ind w:firstLine="567"/>
        <w:jc w:val="both"/>
      </w:pPr>
      <w:r>
        <w:rPr>
          <w:rFonts w:ascii="Arial" w:cs="Arial" w:eastAsia="Arial" w:hAnsi="Arial"/>
          <w:sz w:val="24"/>
          <w:szCs w:val="24"/>
        </w:rPr>
        <w:t xml:space="preserve">Банку Внимание: ОПС</w:t>
      </w:r>
    </w:p>
    <w:p>
      <w:pPr>
        <w:spacing w:after="60"/>
        <w:ind w:firstLine="567"/>
        <w:jc w:val="both"/>
      </w:pPr>
      <w:r>
        <w:rPr>
          <w:rFonts w:ascii="Arial" w:cs="Arial" w:eastAsia="Arial" w:hAnsi="Arial"/>
          <w:sz w:val="24"/>
          <w:szCs w:val="24"/>
        </w:rPr>
        <w:t xml:space="preserve">Бульвар Конрада Аденауэра 98-100</w:t>
      </w:r>
    </w:p>
    <w:p>
      <w:pPr>
        <w:spacing w:after="60"/>
        <w:ind w:firstLine="567"/>
        <w:jc w:val="both"/>
      </w:pPr>
      <w:r>
        <w:rPr>
          <w:rFonts w:ascii="Arial" w:cs="Arial" w:eastAsia="Arial" w:hAnsi="Arial"/>
          <w:sz w:val="24"/>
          <w:szCs w:val="24"/>
        </w:rPr>
        <w:t xml:space="preserve">L-2950 Люксембург</w:t>
      </w:r>
    </w:p>
    <w:p>
      <w:pPr>
        <w:spacing w:after="60"/>
        <w:ind w:firstLine="567"/>
        <w:jc w:val="both"/>
      </w:pPr>
      <w:r>
        <w:rPr>
          <w:rFonts w:ascii="Arial" w:cs="Arial" w:eastAsia="Arial" w:hAnsi="Arial"/>
          <w:sz w:val="24"/>
          <w:szCs w:val="24"/>
        </w:rPr>
        <w:t xml:space="preserve">Адрес электронной почты: ops-nc2-secretariat@eib.org</w:t>
      </w:r>
    </w:p>
    <w:p>
      <w:pPr>
        <w:spacing w:after="60" w:before="120"/>
        <w:ind w:firstLine="567"/>
        <w:jc w:val="both"/>
      </w:pPr>
      <w:r>
        <w:rPr>
          <w:rFonts w:ascii="Arial" w:cs="Arial" w:eastAsia="Arial" w:hAnsi="Arial"/>
          <w:sz w:val="24"/>
          <w:szCs w:val="24"/>
        </w:rPr>
        <w:t xml:space="preserve">Для Заемщика Внимание:</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Отдел международного сотрудничества</w:t>
      </w:r>
    </w:p>
    <w:p>
      <w:pPr>
        <w:spacing w:after="60"/>
        <w:ind w:firstLine="567"/>
        <w:jc w:val="both"/>
      </w:pPr>
      <w:r>
        <w:rPr>
          <w:rFonts w:ascii="Arial" w:cs="Arial" w:eastAsia="Arial" w:hAnsi="Arial"/>
          <w:sz w:val="24"/>
          <w:szCs w:val="24"/>
        </w:rPr>
        <w:t xml:space="preserve">720040, г.Бишкек</w:t>
      </w:r>
    </w:p>
    <w:p>
      <w:pPr>
        <w:spacing w:after="60"/>
        <w:ind w:firstLine="567"/>
        <w:jc w:val="both"/>
      </w:pPr>
      <w:r>
        <w:rPr>
          <w:rFonts w:ascii="Arial" w:cs="Arial" w:eastAsia="Arial" w:hAnsi="Arial"/>
          <w:sz w:val="24"/>
          <w:szCs w:val="24"/>
        </w:rPr>
        <w:t xml:space="preserve">Проспект Эркиндик, 58</w:t>
      </w:r>
    </w:p>
    <w:p>
      <w:pPr>
        <w:spacing w:after="60"/>
        <w:ind w:firstLine="567"/>
        <w:jc w:val="both"/>
      </w:pPr>
      <w:r>
        <w:rPr>
          <w:rFonts w:ascii="Arial" w:cs="Arial" w:eastAsia="Arial" w:hAnsi="Arial"/>
          <w:sz w:val="24"/>
          <w:szCs w:val="24"/>
        </w:rPr>
        <w:t xml:space="preserve">Кыргызская Республика</w:t>
      </w:r>
    </w:p>
    <w:p>
      <w:pPr>
        <w:spacing w:after="60"/>
        <w:ind w:firstLine="567"/>
        <w:jc w:val="both"/>
      </w:pPr>
      <w:r>
        <w:rPr>
          <w:rFonts w:ascii="Arial" w:cs="Arial" w:eastAsia="Arial" w:hAnsi="Arial"/>
          <w:sz w:val="24"/>
          <w:szCs w:val="24"/>
        </w:rPr>
        <w:t xml:space="preserve">Адрес эл. почты: minfin@minfin.kg</w:t>
      </w:r>
    </w:p>
    <w:p>
      <w:pPr>
        <w:spacing w:after="60"/>
        <w:ind w:firstLine="567"/>
        <w:jc w:val="both"/>
      </w:pPr>
      <w:r>
        <w:rPr>
          <w:rFonts w:ascii="Arial" w:cs="Arial" w:eastAsia="Arial" w:hAnsi="Arial"/>
          <w:sz w:val="24"/>
          <w:szCs w:val="24"/>
        </w:rPr>
        <w:t xml:space="preserve">Тел.: +996 312 66 05 04</w:t>
      </w:r>
    </w:p>
    <w:p>
      <w:pPr>
        <w:spacing w:after="60" w:before="200"/>
        <w:ind w:firstLine="567"/>
        <w:jc w:val="both"/>
      </w:pPr>
      <w:r>
        <w:rPr>
          <w:rFonts w:ascii="Arial" w:cs="Arial" w:eastAsia="Arial" w:hAnsi="Arial"/>
          <w:b/>
          <w:bCs/>
          <w:sz w:val="24"/>
          <w:szCs w:val="24"/>
        </w:rPr>
        <w:t xml:space="preserve">12.01 С Уведомление о деталях связи</w:t>
      </w:r>
    </w:p>
    <w:p>
      <w:pPr>
        <w:spacing w:after="60"/>
        <w:ind w:firstLine="567"/>
        <w:jc w:val="both"/>
      </w:pPr>
      <w:r>
        <w:rPr>
          <w:rFonts w:ascii="Arial" w:cs="Arial" w:eastAsia="Arial" w:hAnsi="Arial"/>
          <w:sz w:val="24"/>
          <w:szCs w:val="24"/>
        </w:rPr>
        <w:t xml:space="preserve">Банк и Заемщик должны незамедлительно уведомить другую сторону в письменной форме о любых изменениях в их соответствующих реквизитах связи.</w:t>
      </w:r>
    </w:p>
    <w:p>
      <w:pPr>
        <w:spacing w:after="60" w:before="200"/>
        <w:ind w:firstLine="567"/>
        <w:jc w:val="both"/>
      </w:pPr>
      <w:r>
        <w:rPr>
          <w:rFonts w:ascii="Arial" w:cs="Arial" w:eastAsia="Arial" w:hAnsi="Arial"/>
          <w:b/>
          <w:bCs/>
          <w:sz w:val="24"/>
          <w:szCs w:val="24"/>
        </w:rPr>
        <w:t xml:space="preserve">12.02 Английский язык</w:t>
      </w:r>
    </w:p>
    <w:p>
      <w:pPr>
        <w:spacing w:after="60"/>
        <w:ind w:firstLine="567"/>
        <w:jc w:val="both"/>
      </w:pPr>
      <w:r>
        <w:rPr>
          <w:rFonts w:ascii="Arial" w:cs="Arial" w:eastAsia="Arial" w:hAnsi="Arial"/>
          <w:sz w:val="24"/>
          <w:szCs w:val="24"/>
        </w:rPr>
        <w:t xml:space="preserve">(a) Любое уведомление или сообщение, направленное в соответствии с настоящим Соглашением или в связи с ним, должно быть на английском языке.</w:t>
      </w:r>
    </w:p>
    <w:p>
      <w:pPr>
        <w:spacing w:after="60"/>
        <w:ind w:firstLine="567"/>
        <w:jc w:val="both"/>
      </w:pPr>
      <w:r>
        <w:rPr>
          <w:rFonts w:ascii="Arial" w:cs="Arial" w:eastAsia="Arial" w:hAnsi="Arial"/>
          <w:sz w:val="24"/>
          <w:szCs w:val="24"/>
        </w:rPr>
        <w:t xml:space="preserve">(b) Все другие документы, направляемые в соответствии с настоящим Соглашением или в связи с ним, должны быть:</w:t>
      </w:r>
    </w:p>
    <w:p>
      <w:pPr>
        <w:spacing w:after="60"/>
        <w:ind w:firstLine="567"/>
        <w:jc w:val="both"/>
      </w:pPr>
      <w:r>
        <w:rPr>
          <w:rFonts w:ascii="Arial" w:cs="Arial" w:eastAsia="Arial" w:hAnsi="Arial"/>
          <w:sz w:val="24"/>
          <w:szCs w:val="24"/>
        </w:rPr>
        <w:t xml:space="preserve">(i) на английском языке; или</w:t>
      </w:r>
    </w:p>
    <w:p>
      <w:pPr>
        <w:spacing w:after="60"/>
        <w:ind w:firstLine="567"/>
        <w:jc w:val="both"/>
      </w:pPr>
      <w:r>
        <w:rPr>
          <w:rFonts w:ascii="Arial" w:cs="Arial" w:eastAsia="Arial" w:hAnsi="Arial"/>
          <w:sz w:val="24"/>
          <w:szCs w:val="24"/>
        </w:rPr>
        <w:t xml:space="preserve">(ii) если не на английском языке, и если того требует Банк, сопровождается заверенным переводом на английский язык, и в этом случае перевод на английский язык будет иметь преимущественную силу.</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В</w:t>
      </w:r>
    </w:p>
    <w:p>
      <w:pPr>
        <w:spacing w:after="400" w:before="400"/>
        <w:jc w:val="center"/>
      </w:pPr>
      <w:r>
        <w:rPr>
          <w:rFonts w:ascii="Arial" w:cs="Arial" w:eastAsia="Arial" w:hAnsi="Arial"/>
          <w:b/>
          <w:bCs/>
          <w:sz w:val="32"/>
          <w:szCs w:val="32"/>
        </w:rPr>
        <w:t xml:space="preserve">Определения EURIBOR</w:t>
      </w:r>
    </w:p>
    <w:p>
      <w:pPr>
        <w:spacing w:after="60"/>
        <w:ind w:firstLine="567"/>
        <w:jc w:val="both"/>
      </w:pPr>
      <w:r>
        <w:rPr>
          <w:rFonts w:ascii="Arial" w:cs="Arial" w:eastAsia="Arial" w:hAnsi="Arial"/>
          <w:sz w:val="24"/>
          <w:szCs w:val="24"/>
        </w:rPr>
        <w:t xml:space="preserve">"</w:t>
      </w:r>
      <w:r>
        <w:rPr>
          <w:rFonts w:ascii="Arial" w:cs="Arial" w:eastAsia="Arial" w:hAnsi="Arial"/>
          <w:b/>
          <w:bCs/>
          <w:sz w:val="24"/>
          <w:szCs w:val="24"/>
        </w:rPr>
        <w:t xml:space="preserve">EURIBOR</w:t>
      </w:r>
      <w:r>
        <w:rPr>
          <w:rFonts w:ascii="Arial" w:cs="Arial" w:eastAsia="Arial" w:hAnsi="Arial"/>
          <w:sz w:val="24"/>
          <w:szCs w:val="24"/>
        </w:rPr>
        <w:t xml:space="preserve">" означает:</w:t>
      </w:r>
    </w:p>
    <w:p>
      <w:pPr>
        <w:spacing w:after="60"/>
        <w:ind w:firstLine="567"/>
        <w:jc w:val="both"/>
      </w:pPr>
      <w:r>
        <w:rPr>
          <w:rFonts w:ascii="Arial" w:cs="Arial" w:eastAsia="Arial" w:hAnsi="Arial"/>
          <w:sz w:val="24"/>
          <w:szCs w:val="24"/>
        </w:rPr>
        <w:t xml:space="preserve">в отношении соответствующего периода менее одного месяца - Экранную ставку (как определено ниже) за один месяц;</w:t>
      </w:r>
    </w:p>
    <w:p>
      <w:pPr>
        <w:spacing w:after="60"/>
        <w:ind w:firstLine="567"/>
        <w:jc w:val="both"/>
      </w:pPr>
      <w:r>
        <w:rPr>
          <w:rFonts w:ascii="Arial" w:cs="Arial" w:eastAsia="Arial" w:hAnsi="Arial"/>
          <w:sz w:val="24"/>
          <w:szCs w:val="24"/>
        </w:rPr>
        <w:t xml:space="preserve">в отношении соответствующего периода, равного одному или более месяцев, по которым установлена Экранная ставка - применяемую Экранную ставку, установленную на соответствующее количество месяцев; и</w:t>
      </w:r>
    </w:p>
    <w:p>
      <w:pPr>
        <w:spacing w:after="60"/>
        <w:ind w:firstLine="567"/>
        <w:jc w:val="both"/>
      </w:pPr>
      <w:r>
        <w:rPr>
          <w:rFonts w:ascii="Arial" w:cs="Arial" w:eastAsia="Arial" w:hAnsi="Arial"/>
          <w:sz w:val="24"/>
          <w:szCs w:val="24"/>
        </w:rPr>
        <w:t xml:space="preserve">в отношении соответствующего периода более одного месяца по которому не установлена Экранная ставка - ставку, получаемую в результате линейной интерполяции путем ссылки на две Экранные ставки, одна из которых применяется к следующему более короткому, а другая к следующему более длительному периоду в сравнении с продолжительностью соответствующего периода,</w:t>
      </w:r>
    </w:p>
    <w:p>
      <w:pPr>
        <w:spacing w:after="60"/>
        <w:ind w:firstLine="567"/>
        <w:jc w:val="both"/>
      </w:pPr>
      <w:r>
        <w:rPr>
          <w:rFonts w:ascii="Arial" w:cs="Arial" w:eastAsia="Arial" w:hAnsi="Arial"/>
          <w:sz w:val="24"/>
          <w:szCs w:val="24"/>
        </w:rPr>
        <w:t xml:space="preserve">(период, в отношении которого применяется ставка или на основании которого интерполируются ставки, называется "Репрезентативный период").</w:t>
      </w:r>
    </w:p>
    <w:p>
      <w:pPr>
        <w:spacing w:after="60"/>
        <w:ind w:firstLine="567"/>
        <w:jc w:val="both"/>
      </w:pPr>
      <w:r>
        <w:rPr>
          <w:rFonts w:ascii="Arial" w:cs="Arial" w:eastAsia="Arial" w:hAnsi="Arial"/>
          <w:sz w:val="24"/>
          <w:szCs w:val="24"/>
        </w:rPr>
        <w:t xml:space="preserve">В контексте параграфов (а) и (с) выше:</w:t>
      </w:r>
    </w:p>
    <w:p>
      <w:pPr>
        <w:spacing w:after="60"/>
        <w:ind w:firstLine="567"/>
        <w:jc w:val="both"/>
      </w:pPr>
      <w:r>
        <w:rPr>
          <w:rFonts w:ascii="Arial" w:cs="Arial" w:eastAsia="Arial" w:hAnsi="Arial"/>
          <w:sz w:val="24"/>
          <w:szCs w:val="24"/>
        </w:rPr>
        <w:t xml:space="preserve">(i) "установленный" означает ставки по установленным срокам платежей, рассчитываемые и публикуемые Global Rate Set Systems Ltd (GRSS) либо другой обслуживающей компанией, отобранной Европейским Валютным Институтом (EMMI) по инициативе EMMI, либо любым правопреемником, ответственным за эту функцию, определенным Банком; и</w:t>
      </w:r>
    </w:p>
    <w:p>
      <w:pPr>
        <w:spacing w:after="60"/>
        <w:ind w:firstLine="567"/>
        <w:jc w:val="both"/>
      </w:pPr>
      <w:r>
        <w:rPr>
          <w:rFonts w:ascii="Arial" w:cs="Arial" w:eastAsia="Arial" w:hAnsi="Arial"/>
          <w:sz w:val="24"/>
          <w:szCs w:val="24"/>
        </w:rPr>
        <w:t xml:space="preserve">(ii) "Экранная ставка" означает процентную ставку по депозитам в Евро, установленную на соответствующий период и опубликованную в 11:00 часов по брюссельскому времени, либо в более позднее время, приемлемое для Банка, в день ("Дата обновления ставки"), который наступает за 2 (два) Соответствующих рабочих дня до первого дня соответствующего периода, на странице EURIBOR 01 агентства Reuters либо на странице его правопреемника, либо в случае отсутствия такой публикации, публикуемую любыми другими средствами публикации, выбранными для этих целей Банком.</w:t>
      </w:r>
    </w:p>
    <w:p>
      <w:pPr>
        <w:spacing w:after="60"/>
        <w:ind w:firstLine="567"/>
        <w:jc w:val="both"/>
      </w:pPr>
      <w:r>
        <w:rPr>
          <w:rFonts w:ascii="Arial" w:cs="Arial" w:eastAsia="Arial" w:hAnsi="Arial"/>
          <w:sz w:val="24"/>
          <w:szCs w:val="24"/>
        </w:rPr>
        <w:t xml:space="preserve">Если такая Экранная ставка не была опубликована, Банк должен запросить головные офисы четырех крупных банков, расположенных в Еврозоне, отобранных Банком, опубликовать процентную ставку, по которой каждый из таких банков предлагает депозиты в Евро на соразмерную сумму примерно в 11:00 часов по Брюссельскому времени на Дату обновления ставки на межбанковском рынке в Еврозоне за период, равный Репрезентативному периоду. Если банками были предоставлены как минимум 2 (две) котировки, то ставкой на Дату обновления ставки будет являться среднее арифметическое этих котировок. Если в соответствии с запросом не будет предоставлено достаточных котировок, то ставкой на Дату обновления ставки будет являться среднее арифметическое ставок, опубликованных крупными банками отобранными Банком и расположенными в Еврозоне, примерно в 11:00 часов по Брюссельскому времени в день, который наступает по истечении 2 (двух) Соответствующих рабочих дней после Даты обновления ставки, по займам в Евро на соразмерную сумму лидирующих европейских банков за период, равный Репрезентативному периоду. Банк незамедлительно информирует Заемщика о котировках, полученных Банком.</w:t>
      </w:r>
    </w:p>
    <w:p>
      <w:pPr>
        <w:spacing w:after="60"/>
        <w:ind w:firstLine="567"/>
        <w:jc w:val="both"/>
      </w:pPr>
      <w:r>
        <w:rPr>
          <w:rFonts w:ascii="Arial" w:cs="Arial" w:eastAsia="Arial" w:hAnsi="Arial"/>
          <w:sz w:val="24"/>
          <w:szCs w:val="24"/>
        </w:rPr>
        <w:t xml:space="preserve">Все процентные ставки, полученные в результате любых расчетов, указанных в настоящем Приложении, будут округлены, при необходимости, до ближайшей тысячной доли процентного пункта с округлением половин.</w:t>
      </w:r>
    </w:p>
    <w:p>
      <w:pPr>
        <w:spacing w:after="60"/>
        <w:ind w:firstLine="567"/>
        <w:jc w:val="both"/>
      </w:pPr>
      <w:r>
        <w:rPr>
          <w:rFonts w:ascii="Arial" w:cs="Arial" w:eastAsia="Arial" w:hAnsi="Arial"/>
          <w:sz w:val="24"/>
          <w:szCs w:val="24"/>
        </w:rPr>
        <w:t xml:space="preserve">Если какое-либо из вышеустановленных положений не соответствуют положениям, принятым под эгидой EMMI (либо любым правопреемником, ответственным за эту функцию EMMI, как определено Банком), в отношении ставки EURIBOR, Банк вправе путем направления уведомления Заемщику изменить такое положение с целью приведения в соответствие с такими другими положениями.</w:t>
      </w:r>
    </w:p>
    <w:p>
      <w:pPr>
        <w:spacing w:after="60"/>
        <w:ind w:firstLine="567"/>
        <w:jc w:val="both"/>
      </w:pPr>
      <w:r>
        <w:rPr>
          <w:rFonts w:ascii="Arial" w:cs="Arial" w:eastAsia="Arial" w:hAnsi="Arial"/>
          <w:sz w:val="24"/>
          <w:szCs w:val="24"/>
        </w:rPr>
        <w:t xml:space="preserve">Если Экранная ставка станет недоступной навсегда, замещающей ставкой EURIBOR будет ставка (включая любые различия или корректировки), официально рекомендованная (i) рабочей группой по безрисковым ставкам евро, установленным Европейским центральным банком (ЕЦБ), Управлением по финансовым услугам и рынкам (FSMA), Европейским управлением по ценным бумагам и рынкам (ESMA) и Европейской комиссией, или (</w:t>
      </w:r>
      <w:r>
        <w:rPr>
          <w:rFonts w:ascii="Arial" w:cs="Arial" w:eastAsia="Arial" w:hAnsi="Arial"/>
          <w:sz w:val="24"/>
          <w:szCs w:val="24"/>
        </w:rPr>
        <w:t xml:space="preserve">ii</w:t>
      </w:r>
      <w:r>
        <w:rPr>
          <w:rFonts w:ascii="Arial" w:cs="Arial" w:eastAsia="Arial" w:hAnsi="Arial"/>
          <w:sz w:val="24"/>
          <w:szCs w:val="24"/>
        </w:rPr>
        <w:t xml:space="preserve">) Европейским институтом денежного рынка, в качестве администратора EURIBOR, или (iii) компетентным органом, ответственным в соответствии с Регламентом (EU) 2016/1011 за надзор за Европейским институтом денежного рынка в качестве администратора EURIBOR, или (iv) национальными компетентными органами, назначенными в соответствии с Регламентом (EU) 2016/1011, или (v) Европейским центральным банком.</w:t>
      </w:r>
    </w:p>
    <w:p>
      <w:pPr>
        <w:spacing w:after="60"/>
        <w:ind w:firstLine="567"/>
        <w:jc w:val="both"/>
      </w:pPr>
      <w:r>
        <w:rPr>
          <w:rFonts w:ascii="Arial" w:cs="Arial" w:eastAsia="Arial" w:hAnsi="Arial"/>
          <w:sz w:val="24"/>
          <w:szCs w:val="24"/>
        </w:rPr>
        <w:t xml:space="preserve">Если Экранная ставка и/или замещающая ставка EURIBOR не доступны, как указано выше, ставкой EURIBOR будет являться ставка выраженная как годовая процентная ставка), определенная Банком как полная стоимость финансирования Банком соответствующего Транша на основе применимой в тот момент учетной ставки Банка или на основе альтернативного метода определения ставки, которые</w:t>
      </w:r>
      <w:r>
        <w:rPr>
          <w:rFonts w:ascii="Arial" w:cs="Arial" w:eastAsia="Arial" w:hAnsi="Arial"/>
          <w:sz w:val="24"/>
          <w:szCs w:val="24"/>
        </w:rPr>
        <w:t xml:space="preserve">Банк обоснованно применил.</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eb_3g--ivmre_8az6yri">
      <w:r>
        <w:rPr>
          <w:rFonts w:ascii="Arial" w:cs="Arial" w:eastAsia="Arial" w:hAnsi="Arial"/>
          <w:color w:val="132D3F"/>
          <w:sz w:val="16"/>
          <w:szCs w:val="16"/>
          <w:u w:val="single"/>
        </w:rPr>
        <w:t xml:space="preserve">dalil.kg/document/219009</w:t>
      </w:r>
    </w:hyperlink>
  </w:p>
  <w:p>
    <w:pPr>
      <w:spacing w:after="0" w:before="40"/>
      <w:jc w:val="center"/>
    </w:pPr>
    <w:hyperlink w:history="1" r:id="rIdphlk675-sekunss8lvyc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duj2ikmnunbciqhqgn1r" Type="http://schemas.openxmlformats.org/officeDocument/2006/relationships/hyperlink" Target="https://dalil.kg/document/205286" TargetMode="External"/><Relationship Id="rIdk1im8nm7hdkdpr3wavafv" Type="http://schemas.openxmlformats.org/officeDocument/2006/relationships/hyperlink" Target="https://dalil.kg/document/112301#st_13" TargetMode="External"/><Relationship Id="rIdiam-vrxo2luiezk1w81sc" Type="http://schemas.openxmlformats.org/officeDocument/2006/relationships/hyperlink" Target="https://dalil.kg/document/112301#st_17" TargetMode="External"/><Relationship Id="rIdsxqsefq-wddmn773kk6tw" Type="http://schemas.openxmlformats.org/officeDocument/2006/relationships/hyperlink" Target="https://dalil.kg/document/219009#pr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eb_3g--ivmre_8az6yri" Type="http://schemas.openxmlformats.org/officeDocument/2006/relationships/hyperlink" Target="https://dalil.kg/document/219009" TargetMode="External"/><Relationship Id="rIdphlk675-sekunss8lvyc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2026-09-30T13:32:42.977Z</dcterms:created>
  <dcterms:modified xsi:type="dcterms:W3CDTF">2026-09-30T13:32:42.977Z</dcterms:modified>
</cp:coreProperties>
</file>

<file path=docProps/custom.xml><?xml version="1.0" encoding="utf-8"?>
<Properties xmlns="http://schemas.openxmlformats.org/officeDocument/2006/custom-properties" xmlns:vt="http://schemas.openxmlformats.org/officeDocument/2006/docPropsVTypes"/>
</file>