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мая 2022 года № </w:t>
      </w:r>
      <w:r>
        <w:rPr>
          <w:rFonts w:ascii="Arial" w:cs="Arial" w:eastAsia="Arial" w:hAnsi="Arial"/>
          <w:sz w:val="24"/>
          <w:szCs w:val="24"/>
        </w:rPr>
        <w:t xml:space="preserve">261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dy545vunmewbulngf2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fhaj6kuh6q1-jfech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54gv7hezw-jyrhv6x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 Протоколу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подписанному 19 октября 2021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мая 2022 года № 261-р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подписанному 19 октября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подписанный 19 октября 2021 года в городе Москве, подготовлен в целях приведения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 в соответствие с положениями</w:t>
      </w:r>
      <w:r>
        <w:rPr>
          <w:rFonts w:ascii="Arial" w:cs="Arial" w:eastAsia="Arial" w:hAnsi="Arial"/>
          <w:sz w:val="24"/>
          <w:szCs w:val="24"/>
        </w:rPr>
        <w:t xml:space="preserve"> Договора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 и </w:t>
      </w:r>
      <w:r>
        <w:rPr>
          <w:rFonts w:ascii="Arial" w:cs="Arial" w:eastAsia="Arial" w:hAnsi="Arial"/>
          <w:sz w:val="24"/>
          <w:szCs w:val="24"/>
        </w:rPr>
        <w:t xml:space="preserve">Договора </w:t>
      </w:r>
      <w:r>
        <w:rPr>
          <w:rFonts w:ascii="Arial" w:cs="Arial" w:eastAsia="Arial" w:hAnsi="Arial"/>
          <w:sz w:val="24"/>
          <w:szCs w:val="24"/>
        </w:rPr>
        <w:t xml:space="preserve">о Таможенном</w:t>
      </w:r>
      <w:r>
        <w:rPr>
          <w:rFonts w:ascii="Arial" w:cs="Arial" w:eastAsia="Arial" w:hAnsi="Arial"/>
          <w:sz w:val="24"/>
          <w:szCs w:val="24"/>
        </w:rPr>
        <w:t xml:space="preserve"> кодексе </w:t>
      </w: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 от 11 апреля 2017 года, а также с используемыми в них терминологией и понятийным аппаратом.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Коллегии Евразийской экономической комиссии от 23 апреля 2019 года № 75 одобрен проект распоряжения Совета Евразийской экономической комиссии "О проекте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28 мая 2019 года № 22 проект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 одобрен и направлен в государства - члены ЕАЭС для проведения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</w:t>
      </w:r>
      <w:r>
        <w:rPr>
          <w:rFonts w:ascii="Arial" w:cs="Arial" w:eastAsia="Arial" w:hAnsi="Arial"/>
          <w:sz w:val="24"/>
          <w:szCs w:val="24"/>
        </w:rPr>
        <w:t xml:space="preserve"> распоряжением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сентября 2019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не противоречит нормам международных договоров, участницей которых является Кыргызская Республика, </w:t>
      </w:r>
      <w:hyperlink w:history="1" r:id="rIdkckiggtpkyh8ekadlb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</w:t>
      </w:r>
      <w:r>
        <w:rPr>
          <w:rFonts w:ascii="Arial" w:cs="Arial" w:eastAsia="Arial" w:hAnsi="Arial"/>
          <w:sz w:val="24"/>
          <w:szCs w:val="24"/>
        </w:rPr>
        <w:t xml:space="preserve"> Протокола </w:t>
      </w:r>
      <w:r>
        <w:rPr>
          <w:rFonts w:ascii="Arial" w:cs="Arial" w:eastAsia="Arial" w:hAnsi="Arial"/>
          <w:sz w:val="24"/>
          <w:szCs w:val="24"/>
        </w:rPr>
        <w:t xml:space="preserve">не повлечет социальных, экономических,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i8h8a8qymhodiiy-s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dalil.kg/document/219046</w:t>
      </w:r>
    </w:hyperlink>
  </w:p>
  <w:p>
    <w:pPr>
      <w:spacing w:after="0" w:before="40"/>
      <w:jc w:val="center"/>
    </w:pPr>
    <w:hyperlink w:history="1" r:id="rIdtrvxv3hbbsxbmlul08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y545vunmewbulngf2ad" Type="http://schemas.openxmlformats.org/officeDocument/2006/relationships/hyperlink" Target="https://dalil.kg/document/112213#st_85" TargetMode="External"/><Relationship Id="rIdmfhaj6kuh6q1-jfechbpk" Type="http://schemas.openxmlformats.org/officeDocument/2006/relationships/hyperlink" Target="https://dalil.kg/document/112213#st_68" TargetMode="External"/><Relationship Id="rIdr54gv7hezw-jyrhv6x0sz" Type="http://schemas.openxmlformats.org/officeDocument/2006/relationships/hyperlink" Target="https://dalil.kg/document/205286" TargetMode="External"/><Relationship Id="rIdkckiggtpkyh8ekadlbyif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i8h8a8qymhodiiy-sg3" Type="http://schemas.openxmlformats.org/officeDocument/2006/relationships/hyperlink" Target="https://dalil.kg/document/219046" TargetMode="External"/><Relationship Id="rIdtrvxv3hbbsxbmlul08k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2026-09-30T12:55:32.386Z</dcterms:created>
  <dcterms:modified xsi:type="dcterms:W3CDTF">2026-09-30T12:55:32.386Z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