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28 июня 2022 года № 361-р</w:t>
      </w:r>
    </w:p>
    <w:p>
      <w:pPr>
        <w:spacing w:after="120"/>
        <w:jc w:val="both"/>
      </w:pPr>
      <w:r>
        <w:rPr>
          <w:rFonts w:ascii="Arial" w:cs="Arial" w:eastAsia="Arial" w:hAnsi="Arial"/>
          <w:sz w:val="24"/>
          <w:szCs w:val="24"/>
        </w:rPr>
        <w:t xml:space="preserve">В соответствии со </w:t>
      </w:r>
      <w:hyperlink w:history="1" r:id="rIdzxdlncfsbjf2aii8qvran">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прилагаемый проект Протокола о внесении изменений в Соглашение между Правительством Кыргызской Республики и Правительством Российской Федерации о международном автомобильном сообщении, совершенное в городе Москве 16 апреля 2002 года.</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вышеуказанного проекта Протокола от имени Кабинета Министров Кыргызской Республики, с учетом возможных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о внесении изменений в Соглашение между Правительством Кыргызской Республики и Правительством Российской Федерации о международном автомобильном сообщении, совершенное в городе Москве 16 апреля 2002 года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 Кыргызской Республики и Правительство Российской Федерации, в дальнейшем именуемые Сторонами, руководствуясь пунктом 3 статьи 19 Соглашения между Правительством Кыргызской Республики и Правительством Российской Федерации о международном автомобильном сообщении, совершенного в г. Москве 16 апреля 2002 года (далее - Соглашение), согласились о нижеследующем: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Преамбулу Соглашения дополнить абзацем третьим следующего содержания:</w:t>
      </w:r>
    </w:p>
    <w:p>
      <w:pPr>
        <w:spacing w:after="120"/>
        <w:jc w:val="both"/>
      </w:pPr>
      <w:r>
        <w:rPr>
          <w:rFonts w:ascii="Arial" w:cs="Arial" w:eastAsia="Arial" w:hAnsi="Arial"/>
          <w:sz w:val="24"/>
          <w:szCs w:val="24"/>
        </w:rPr>
        <w:t xml:space="preserve">«учитывая положения Договора о Евразийском экономическом союзе от 29 мая 2014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2 Соглашения дополнить пунктом «и» следующего содержания:</w:t>
      </w:r>
    </w:p>
    <w:p>
      <w:pPr>
        <w:spacing w:after="120"/>
        <w:jc w:val="both"/>
      </w:pPr>
      <w:r>
        <w:rPr>
          <w:rFonts w:ascii="Arial" w:cs="Arial" w:eastAsia="Arial" w:hAnsi="Arial"/>
          <w:sz w:val="24"/>
          <w:szCs w:val="24"/>
        </w:rPr>
        <w:t xml:space="preserve">«и) «специальное разрешение»:</w:t>
      </w:r>
    </w:p>
    <w:p>
      <w:pPr>
        <w:spacing w:after="120"/>
        <w:jc w:val="both"/>
      </w:pPr>
      <w:r>
        <w:rPr>
          <w:rFonts w:ascii="Arial" w:cs="Arial" w:eastAsia="Arial" w:hAnsi="Arial"/>
          <w:sz w:val="24"/>
          <w:szCs w:val="24"/>
        </w:rPr>
        <w:t xml:space="preserve">1) разрешение, предоставляющее право на осуществление перевозок с территории государства одной Стороны на территорию третьего государства и (или) с территории третьего государства на территорию государства этой Стороны перевозчику государства другой Стороны;</w:t>
      </w:r>
    </w:p>
    <w:p>
      <w:pPr>
        <w:spacing w:after="120"/>
        <w:jc w:val="both"/>
      </w:pPr>
      <w:r>
        <w:rPr>
          <w:rFonts w:ascii="Arial" w:cs="Arial" w:eastAsia="Arial" w:hAnsi="Arial"/>
          <w:sz w:val="24"/>
          <w:szCs w:val="24"/>
        </w:rPr>
        <w:t xml:space="preserve">2) разрешение, которое выдается в соответствии с законодательством государства, по территории которого осуществляется перевозка на проезд тяжеловесного и (или) крупногабаритного автотранспортного средства или автотранспортного средства, осуществляющего перевозку опасного груза.».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3</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Дополнить статьей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4</w:t>
      </w:r>
      <w:r>
        <w:rPr>
          <w:rFonts w:ascii="Arial" w:cs="Arial" w:eastAsia="Arial" w:hAnsi="Arial"/>
          <w:sz w:val="24"/>
          <w:szCs w:val="24"/>
        </w:rPr>
        <w:t xml:space="preserve">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государства одной Стороны, осуществляющий регулярные и нерегулярные перевозки пассажиров на территорию государства другой Стороны, должен обеспечить передачу сведений о пассажирах и персонале (экипаже) автотранспортных средств в информационную систему в соответствии с законодательством государства этой другой Стороны.».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5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перевозок грузов между государствами Сторон или транзитом по их территориям получение разрешения не требуется.</w:t>
      </w:r>
    </w:p>
    <w:p>
      <w:pPr>
        <w:spacing w:after="120"/>
        <w:jc w:val="both"/>
      </w:pPr>
      <w:r>
        <w:rPr>
          <w:rFonts w:ascii="Arial" w:cs="Arial" w:eastAsia="Arial" w:hAnsi="Arial"/>
          <w:sz w:val="24"/>
          <w:szCs w:val="24"/>
        </w:rPr>
        <w:t xml:space="preserve">2. Для перевозок грузов перевозчиком государства одной Стороны с территории государства другой Стороны на территорию третьего государства, являющегося участником Евразийского экономического союза, а также с территории третьего государства, являющегося участником Евразийского экономического союза, на территорию государства этой другой Стороны получение специального разрешения, указанного в подпункте 1 пункта «и» статьи 2 настоящего Соглашения, не требуется.</w:t>
      </w:r>
    </w:p>
    <w:p>
      <w:pPr>
        <w:spacing w:after="120"/>
        <w:jc w:val="both"/>
      </w:pPr>
      <w:r>
        <w:rPr>
          <w:rFonts w:ascii="Arial" w:cs="Arial" w:eastAsia="Arial" w:hAnsi="Arial"/>
          <w:sz w:val="24"/>
          <w:szCs w:val="24"/>
        </w:rPr>
        <w:t xml:space="preserve">3. Положения пунктов 1 и 2 настоящей статьи распространяются и на проезд порожних автотранспортных средств.».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7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законодательством государства Стороны, по территории которого осуществляется перевозка, установлена необходимость получения специальных разрешений на проезд автотранспортных средств, весовые или габаритные параметры которых (с грузом или без груза) превышают установленные нормы, перевозчик должен получить такие специальные разрешения и следовать по соответствующим маршрутам, если они предусмотрены этими специальными разрешениями.».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8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8</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законодательством государства Стороны, по территории которого осуществляется перевозка, установлена необходимость получения специальных разрешений на проезд автотранспортного средства, осуществляющего перевозку опасного груза, перевозчик должен получить такие специальные разрешения и следовать по соответствующим маршрутам, если они предусмотрены этими специальными разрешениями.».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9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Перевозчику государства одной Стороны не разрешается осуществлять перевозки пассажиров и грузов между пунктами, расположенными на территории государства другой Стороны, за исключением перевозок грузов при соблюдении условий, установленных для перевозчиков государств - членов Евразийского экономического союза.</w:t>
      </w:r>
    </w:p>
    <w:p>
      <w:pPr>
        <w:spacing w:after="120"/>
        <w:jc w:val="both"/>
      </w:pPr>
      <w:r>
        <w:rPr>
          <w:rFonts w:ascii="Arial" w:cs="Arial" w:eastAsia="Arial" w:hAnsi="Arial"/>
          <w:sz w:val="24"/>
          <w:szCs w:val="24"/>
        </w:rPr>
        <w:t xml:space="preserve">2. Перевозчик государства одной Стороны может осуществлять перевозки грузов и пассажиров с территории государства другой Стороны на территорию третьего государства, а также с территории третьего государства на территорию государства другой Стороны, если он получил на это специальное разрешение компетентного органа другой Стороны, указанное в подпункте 1 пункта «и» статьи 2 настоящего Соглашения, за исключением перевозок грузов, предусмотренных пунктом 2 статьи 5 настоящего Соглашения.</w:t>
      </w:r>
    </w:p>
    <w:p>
      <w:pPr>
        <w:spacing w:after="120"/>
        <w:jc w:val="both"/>
      </w:pPr>
      <w:r>
        <w:rPr>
          <w:rFonts w:ascii="Arial" w:cs="Arial" w:eastAsia="Arial" w:hAnsi="Arial"/>
          <w:sz w:val="24"/>
          <w:szCs w:val="24"/>
        </w:rPr>
        <w:t xml:space="preserve">3. Компетентные органы Сторон согласовывают между собой порядок обмена бланками специальных разрешений, указанных в подпункте 1 пункта «и» статьи 2 настоящего Соглашения. Эти бланки должны иметь печать и подпись ответственного лица компетентного органа, выдавшего разрешение.</w:t>
      </w:r>
    </w:p>
    <w:p>
      <w:pPr>
        <w:spacing w:after="120"/>
        <w:jc w:val="both"/>
      </w:pPr>
      <w:r>
        <w:rPr>
          <w:rFonts w:ascii="Arial" w:cs="Arial" w:eastAsia="Arial" w:hAnsi="Arial"/>
          <w:sz w:val="24"/>
          <w:szCs w:val="24"/>
        </w:rPr>
        <w:t xml:space="preserve">4. Специальные разрешения, указанные в подпункте 1 пункта «и» статьи 2 настоящего Соглашения, действуют в течение календарного года и до 31 января следующего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8</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11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Перевозчики, осуществляющие перевозки пассажиров и грузов, на основании настоящего Соглашения освобождаются на взаимной основе от сборов и платежей за проезд по автомобильным дорогам государства другой Стороны, за исключением сборов и платежей, взимаемых в соответствии с законодательством государств Сторон и на недискриминационной основе в счет возмещения вреда, причиняемого автотранспортными средствами автомобильным дорогам, а также за использование автомобильных дорог, мостов и тоннелей на платной основе.».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Протокол вступает в силу по истечении 30 дней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Совершено в городе_«_»_20_года, в двух экземплярах, каждый на кыргызском и русском языках, причем оба текста имеют одинаковую силу. В случае разногласий при толковании положений настоящего Протокола Стороны обращаются к тексту на русском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w:t>
      </w:r>
      <w:r>
        <w:rPr>
          <w:rFonts w:ascii="Arial" w:cs="Arial" w:eastAsia="Arial" w:hAnsi="Arial"/>
          <w:b/>
          <w:bCs/>
          <w:sz w:val="24"/>
          <w:szCs w:val="24"/>
        </w:rPr>
        <w:t xml:space="preserve">а Кабинет Министров</w:t>
      </w:r>
      <w:r>
        <w:rPr>
          <w:rFonts w:ascii="Arial" w:cs="Arial" w:eastAsia="Arial" w:hAnsi="Arial"/>
          <w:sz w:val="24"/>
          <w:szCs w:val="24"/>
        </w:rPr>
        <w:t xml:space="preserve">	</w:t>
      </w:r>
      <w:r>
        <w:rPr>
          <w:rFonts w:ascii="Arial" w:cs="Arial" w:eastAsia="Arial" w:hAnsi="Arial"/>
          <w:b/>
          <w:bCs/>
          <w:sz w:val="24"/>
          <w:szCs w:val="24"/>
        </w:rPr>
        <w:t xml:space="preserve">З</w:t>
      </w:r>
      <w:r>
        <w:rPr>
          <w:rFonts w:ascii="Arial" w:cs="Arial" w:eastAsia="Arial" w:hAnsi="Arial"/>
          <w:b/>
          <w:bCs/>
          <w:sz w:val="24"/>
          <w:szCs w:val="24"/>
        </w:rPr>
        <w:t xml:space="preserve">а Правительство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xbi5j1db88-oulqtlgv-">
      <w:r>
        <w:rPr>
          <w:rFonts w:ascii="Arial" w:cs="Arial" w:eastAsia="Arial" w:hAnsi="Arial"/>
          <w:color w:val="132D3F"/>
          <w:sz w:val="16"/>
          <w:szCs w:val="16"/>
          <w:u w:val="single"/>
        </w:rPr>
        <w:t xml:space="preserve">dalil.kg/document/219107</w:t>
      </w:r>
    </w:hyperlink>
  </w:p>
  <w:p>
    <w:pPr>
      <w:spacing w:after="0" w:before="40"/>
      <w:jc w:val="center"/>
    </w:pPr>
    <w:hyperlink w:history="1" r:id="rId18xqlguf2nwqncs91ys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dlncfsbjf2aii8qvran" Type="http://schemas.openxmlformats.org/officeDocument/2006/relationships/hyperlink" Target="https://dalil.kg/document/205286#st_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xbi5j1db88-oulqtlgv-" Type="http://schemas.openxmlformats.org/officeDocument/2006/relationships/hyperlink" Target="https://dalil.kg/document/219107" TargetMode="External"/><Relationship Id="rId18xqlguf2nwqncs91ys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2026-09-30T09:49:21.755Z</dcterms:created>
  <dcterms:modified xsi:type="dcterms:W3CDTF">2026-09-30T09:49:21.755Z</dcterms:modified>
</cp:coreProperties>
</file>

<file path=docProps/custom.xml><?xml version="1.0" encoding="utf-8"?>
<Properties xmlns="http://schemas.openxmlformats.org/officeDocument/2006/custom-properties" xmlns:vt="http://schemas.openxmlformats.org/officeDocument/2006/docPropsVTypes"/>
</file>