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 июля 2022 года № 39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въезда/выезда отдельных категорий граждан Республики Таджикистан и граждан третьих государств через пункты пропуска на Государственной границе Кыргызской Республики, в соответствии со статьями </w:t>
      </w:r>
      <w:hyperlink w:history="1" r:id="rIdg_jyop5cfbrrhbrpm8p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lukqybgvsn7urohwk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qhgiqcaz9kumxadz_t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«и промышленности»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граждан Республики Таджикистан - детей и супругов граждан Кыргызской Республики при условии документального подтверждения их родства;»;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девятым,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граждан Республики Таджикистан, участвующих в различных официальных и общественно-массовых мероприятиях на территории Кыргызской Республики на основании письменного обращения заинтересованных государственных органов Кыргызской Республики по согласованию с руководством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третьих стран на основании письменных обращений государственных органов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Пограничной службе Государственного комитета национальной безопасности Кыргызской Республики, Государственной таможенной службе при Министерстве финансов Кыргызской Республики, Министерству транспорта и коммуникаций Кыргызской Республики, Министерству труда, социального</w:t>
      </w:r>
      <w:r>
        <w:rPr>
          <w:rFonts w:ascii="Arial" w:cs="Arial" w:eastAsia="Arial" w:hAnsi="Arial"/>
          <w:sz w:val="24"/>
          <w:szCs w:val="24"/>
        </w:rPr>
        <w:t xml:space="preserve"> обеспечения и миграции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Министерству</w:t>
      </w:r>
      <w:r>
        <w:rPr>
          <w:rFonts w:ascii="Arial" w:cs="Arial" w:eastAsia="Arial" w:hAnsi="Arial"/>
          <w:sz w:val="24"/>
          <w:szCs w:val="24"/>
        </w:rPr>
        <w:t xml:space="preserve"> внутренних дел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Министерству сельского </w:t>
      </w:r>
      <w:r>
        <w:rPr>
          <w:rFonts w:ascii="Arial" w:cs="Arial" w:eastAsia="Arial" w:hAnsi="Arial"/>
          <w:sz w:val="24"/>
          <w:szCs w:val="24"/>
        </w:rPr>
        <w:t xml:space="preserve">хозяйства Кыргызской Республики, Министерству энергетики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другим заинтересованным государственным органам Кыргызской Республики принять соответствующие меры, вытекающие из настоящего распоряжения.».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fo051rq_nubtk1jz9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dalil.kg/document/219122</w:t>
      </w:r>
    </w:hyperlink>
  </w:p>
  <w:p>
    <w:pPr>
      <w:spacing w:after="0" w:before="40"/>
      <w:jc w:val="center"/>
    </w:pPr>
    <w:hyperlink w:history="1" r:id="rId7hku02-jn_il79mgq_h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jyop5cfbrrhbrpm8pzu" Type="http://schemas.openxmlformats.org/officeDocument/2006/relationships/hyperlink" Target="https://dalil.kg/document/112301#st_13" TargetMode="External"/><Relationship Id="rIdh6lukqybgvsn7urohwkpt" Type="http://schemas.openxmlformats.org/officeDocument/2006/relationships/hyperlink" Target="https://dalil.kg/document/112301#st_17" TargetMode="External"/><Relationship Id="rIdbqhgiqcaz9kumxadz_tz9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fo051rq_nubtk1jz965" Type="http://schemas.openxmlformats.org/officeDocument/2006/relationships/hyperlink" Target="https://dalil.kg/document/219122" TargetMode="External"/><Relationship Id="rId7hku02-jn_il79mgq_h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2026-09-27T14:50:25.183Z</dcterms:created>
  <dcterms:modified xsi:type="dcterms:W3CDTF">2026-09-27T14:50:25.183Z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