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8 августа 2022 года № 419-р</w:t>
      </w:r>
    </w:p>
    <w:p>
      <w:pPr>
        <w:spacing w:after="120"/>
        <w:jc w:val="both"/>
      </w:pPr>
      <w:r>
        <w:rPr>
          <w:rFonts w:ascii="Arial" w:cs="Arial" w:eastAsia="Arial" w:hAnsi="Arial"/>
          <w:sz w:val="24"/>
          <w:szCs w:val="24"/>
        </w:rPr>
        <w:t xml:space="preserve">В соответствии со </w:t>
      </w:r>
      <w:hyperlink w:history="1" r:id="rIdlryuy4r8lipjitnwgix3t">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в целях выполнения внутригосударственных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прилагаемое </w:t>
      </w:r>
      <w:hyperlink w:history="1" r:id="rIdcqnzh614jpl8j2nxb6zhs">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Соглашению об особенностях применения обеспечения исполнения обязанности по уплате таможенных пошлин, налогов, специальных, антидемпинговых, компенсационных пошлин при перевозке (транспортировке) товаров в соответствии с таможенной процедурой таможенного транзита, подписанному 19 апреля 2022 года в городе Москве.</w:t>
      </w:r>
    </w:p>
    <w:p>
      <w:pPr>
        <w:spacing w:after="120"/>
        <w:jc w:val="both"/>
      </w:pPr>
      <w:r>
        <w:rPr>
          <w:rFonts w:ascii="Arial" w:cs="Arial" w:eastAsia="Arial" w:hAnsi="Arial"/>
          <w:sz w:val="24"/>
          <w:szCs w:val="24"/>
        </w:rPr>
        <w:t xml:space="preserve">2. Направить прилагаемое заключение Кабинета Министров Кыргызской Республики в Жогорку Кенеш Кыргызской Республики.</w:t>
      </w:r>
    </w:p>
    <w:p>
      <w:pPr>
        <w:spacing w:after="120"/>
        <w:jc w:val="both"/>
      </w:pPr>
      <w:r>
        <w:rPr>
          <w:rFonts w:ascii="Arial" w:cs="Arial" w:eastAsia="Arial" w:hAnsi="Arial"/>
          <w:sz w:val="24"/>
          <w:szCs w:val="24"/>
        </w:rPr>
        <w:t xml:space="preserve">3. Определить Государственную таможенную службу при Министерстве финансов Кыргызской Республики органом, ответственным за реализацию указанного Соглашения.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распоряжением </w:t>
      </w:r>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от 8 августа 2022 года № 419-р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Заключение
 Кабинета Министров Кыргызской Республики к Соглашению об особенностях применения обеспечения исполнения обязанности по уплате таможенных пошлин, налогов, специальных, антидемпинговых, компенсационных пошлин при перевозке (транспортировке) товаров в соответствии с таможенной процедурой таможенного транзита, подписанному 19 апреля 2022 года в городе Москве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об особенностях применения обеспечения исполнения обязанности по уплате таможенных пошлин, налогов, специальных, антидемпинговых, компенсационных пошлин при перевозке (транспортировке) товаров в соответствии с таможенной процедурой таможенного транзита, подписанное 19 апреля 2022 года в городе Москве (далее - Соглашение), не противоречит </w:t>
      </w:r>
      <w:hyperlink w:history="1" r:id="rIdmjko71ns-ndkqc9iu0hv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законодательству Кыргызской Республики, а также нормам международных договоров, вступивших в установленном законном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Основной целью Соглашения является создание более комфортной системы обеспечения уплаты таможенных платежей при таможенном транзите для субъектов внешнеэкономической деятельности.</w:t>
      </w:r>
    </w:p>
    <w:p>
      <w:pPr>
        <w:spacing w:after="120"/>
        <w:jc w:val="both"/>
      </w:pPr>
      <w:r>
        <w:rPr>
          <w:rFonts w:ascii="Arial" w:cs="Arial" w:eastAsia="Arial" w:hAnsi="Arial"/>
          <w:sz w:val="24"/>
          <w:szCs w:val="24"/>
        </w:rPr>
        <w:t xml:space="preserve">Соглашение предусматривает определение особенности применения генерального обеспечения исполнения обязанности по уплате таможенных и иных платежей при перевозке (транспортировке) товаров в соответствии с таможенной процедурой таможенного транзита в случаях, когда помещение товаров под таможенную процедуру таможенного транзита будет осуществляться таможенным органом одного государства-члена, а генеральное обеспечение исполнения обязанности по уплате таможенных и иных платежей предоставлено таможенному органу другого государства-члена Евразийского экономического союза.</w:t>
      </w:r>
    </w:p>
    <w:p>
      <w:pPr>
        <w:spacing w:after="120"/>
        <w:jc w:val="both"/>
      </w:pPr>
      <w:r>
        <w:rPr>
          <w:rFonts w:ascii="Arial" w:cs="Arial" w:eastAsia="Arial" w:hAnsi="Arial"/>
          <w:sz w:val="24"/>
          <w:szCs w:val="24"/>
        </w:rPr>
        <w:t xml:space="preserve">При использовании генерального обеспечения исполнения обязанности по уплате таможенных и иных платежей при перевозке (транспортировке) товаров в соответствии с таможенной процедурой таможенного транзита декларанту предоставляются упрощения, предусматривающие возможность оформления сертификата (сертификатов) обеспечения исполнения обязанности по уплате таможенных пошлин, налогов на общую сумму, превышающую размер предоставленного генерального обеспечения исполнения обязанности по уплате таможенных и иных платежей от 20 до 30 процентов, при соблюдении условий Соглашения.</w:t>
      </w:r>
    </w:p>
    <w:p>
      <w:pPr>
        <w:spacing w:after="120"/>
        <w:jc w:val="both"/>
      </w:pPr>
      <w:r>
        <w:rPr>
          <w:rFonts w:ascii="Arial" w:cs="Arial" w:eastAsia="Arial" w:hAnsi="Arial"/>
          <w:sz w:val="24"/>
          <w:szCs w:val="24"/>
        </w:rPr>
        <w:t xml:space="preserve">Соглашением предусмотрено определение особенности применения поручительства в качестве способа обеспечения исполнения обязанности по уплате таможенных и иных платежей при перевозке (транспортировке) товаров в соответствии с таможенной процедурой таможенного транзита в случаях, когда помещение товаров под таможенную процедуру таможенного транзита будет осуществляться таможенным органом одного государства-члена, а обеспечение исполнения обязанности по уплате таможенных и иных платежей предоставлено таможенному органу другого государства-члена Евразийского экономического союза.</w:t>
      </w:r>
    </w:p>
    <w:p>
      <w:pPr>
        <w:spacing w:after="120"/>
        <w:jc w:val="both"/>
      </w:pPr>
      <w:r>
        <w:rPr>
          <w:rFonts w:ascii="Arial" w:cs="Arial" w:eastAsia="Arial" w:hAnsi="Arial"/>
          <w:sz w:val="24"/>
          <w:szCs w:val="24"/>
        </w:rPr>
        <w:t xml:space="preserve">Распоряжением Совета Евразийской экономической комиссии от 10 июля 2020 года № 16 проект Соглашения одобрен и направлен в государства-члены Евразийского экономического союза для проведения внутригосударственных процедур.</w:t>
      </w:r>
    </w:p>
    <w:p>
      <w:pPr>
        <w:spacing w:after="120"/>
        <w:jc w:val="both"/>
      </w:pPr>
      <w:r>
        <w:rPr>
          <w:rFonts w:ascii="Arial" w:cs="Arial" w:eastAsia="Arial" w:hAnsi="Arial"/>
          <w:sz w:val="24"/>
          <w:szCs w:val="24"/>
        </w:rPr>
        <w:t xml:space="preserve">Ранее проект Соглашения был в установленном порядке согласован с Комитетом по экономической и фискальной политике от 3 марта 2021 года № 6-2701/21 и Комитетом по международным делам, обороне и безопасности Жогорку Кенеша Кыргызской Республики от 11 февраля 2021 года № 6-1713/21 и одобрен распоряжением Правительства Кыргызской Республики от 5 апреля 2021 года № 86-р.</w:t>
      </w:r>
    </w:p>
    <w:p>
      <w:pPr>
        <w:spacing w:after="120"/>
        <w:jc w:val="both"/>
      </w:pPr>
      <w:r>
        <w:rPr>
          <w:rFonts w:ascii="Arial" w:cs="Arial" w:eastAsia="Arial" w:hAnsi="Arial"/>
          <w:sz w:val="24"/>
          <w:szCs w:val="24"/>
        </w:rPr>
        <w:t xml:space="preserve">В соответствии со статьями </w:t>
      </w:r>
      <w:hyperlink w:history="1" r:id="rIdepn9myiiutbzwery5brlg">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h9ttzhzqxi0btl3lu-p6z">
        <w:r>
          <w:rPr>
            <w:rFonts w:ascii="Arial" w:cs="Arial" w:eastAsia="Arial" w:hAnsi="Arial"/>
            <w:color w:val="1D4ED8"/>
            <w:sz w:val="24"/>
            <w:szCs w:val="24"/>
            <w:u w:val="single"/>
          </w:rPr>
          <w:t xml:space="preserve">12</w:t>
        </w:r>
      </w:hyperlink>
      <w:r>
        <w:rPr>
          <w:rFonts w:ascii="Arial" w:cs="Arial" w:eastAsia="Arial" w:hAnsi="Arial"/>
          <w:sz w:val="24"/>
          <w:szCs w:val="24"/>
        </w:rPr>
        <w:t xml:space="preserve"> Закона Кыргызской Республики "О международных договорах Кыргызской Республики" Соглашение подлежит ратификации.</w:t>
      </w:r>
    </w:p>
    <w:p>
      <w:pPr>
        <w:spacing w:after="120"/>
        <w:jc w:val="both"/>
      </w:pPr>
      <w:r>
        <w:rPr>
          <w:rFonts w:ascii="Arial" w:cs="Arial" w:eastAsia="Arial" w:hAnsi="Arial"/>
          <w:sz w:val="24"/>
          <w:szCs w:val="24"/>
        </w:rPr>
        <w:t xml:space="preserve">Ратификация Соглашения социальных, экономических, правовых, правозащитных, гендерных, экологических, коррупционных, а также каких-либо финансово-экономических и иных последствий за собой не повлечет.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1mtz9btbgruv6dx6z5w">
      <w:r>
        <w:rPr>
          <w:rFonts w:ascii="Arial" w:cs="Arial" w:eastAsia="Arial" w:hAnsi="Arial"/>
          <w:color w:val="132D3F"/>
          <w:sz w:val="16"/>
          <w:szCs w:val="16"/>
          <w:u w:val="single"/>
        </w:rPr>
        <w:t xml:space="preserve">dalil.kg/document/219153</w:t>
      </w:r>
    </w:hyperlink>
  </w:p>
  <w:p>
    <w:pPr>
      <w:spacing w:after="0" w:before="40"/>
      <w:jc w:val="center"/>
    </w:pPr>
    <w:hyperlink w:history="1" r:id="rIdmnsbcnsa5y6plhbqyxp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yuy4r8lipjitnwgix3t" Type="http://schemas.openxmlformats.org/officeDocument/2006/relationships/hyperlink" Target="https://dalil.kg/document/203166#st_68" TargetMode="External"/><Relationship Id="rIdcqnzh614jpl8j2nxb6zhs" Type="http://schemas.openxmlformats.org/officeDocument/2006/relationships/hyperlink" Target="https://dalil.kg/document/219153#z1" TargetMode="External"/><Relationship Id="rIdmjko71ns-ndkqc9iu0hvq" Type="http://schemas.openxmlformats.org/officeDocument/2006/relationships/hyperlink" Target="https://dalil.kg/document/112213" TargetMode="External"/><Relationship Id="rIdepn9myiiutbzwery5brlg" Type="http://schemas.openxmlformats.org/officeDocument/2006/relationships/hyperlink" Target="https://dalil.kg/document/205286#st_11" TargetMode="External"/><Relationship Id="rIdh9ttzhzqxi0btl3lu-p6z" Type="http://schemas.openxmlformats.org/officeDocument/2006/relationships/hyperlink" Target="https://dalil.kg/document/205286#st_1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1mtz9btbgruv6dx6z5w" Type="http://schemas.openxmlformats.org/officeDocument/2006/relationships/hyperlink" Target="https://dalil.kg/document/219153" TargetMode="External"/><Relationship Id="rIdmnsbcnsa5y6plhbqyxp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2026-09-30T06:37:52.737Z</dcterms:created>
  <dcterms:modified xsi:type="dcterms:W3CDTF">2026-09-30T06:37:52.737Z</dcterms:modified>
</cp:coreProperties>
</file>

<file path=docProps/custom.xml><?xml version="1.0" encoding="utf-8"?>
<Properties xmlns="http://schemas.openxmlformats.org/officeDocument/2006/custom-properties" xmlns:vt="http://schemas.openxmlformats.org/officeDocument/2006/docPropsVTypes"/>
</file>