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сентября 2022 года № 500-р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 на официальном языке (неофициальный перевод):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b8ajbuclnr5sn1hm0a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Кредитного соглашения (обычные операции на льготных условиях) (Программа продвижения экономической диверсификации - Подпрограмма 3) между Кыргызской Республикой и Азиатским банком развития;</w:t>
      </w:r>
    </w:p>
    <w:p>
      <w:pPr>
        <w:spacing w:after="120"/>
        <w:jc w:val="both"/>
      </w:pPr>
      <w:hyperlink w:history="1" r:id="rIddatbgnfr1qyu8uuwmoz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Грантового соглашения (специальные операции) (Программа продвижения экономической диверсификации - Подпрограмма 3) между Кыргызской Республикой и Азиатским банком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соглашений, указанных в пункте 1 настоящего распоряжения, с учетом возможных изменений и дополнений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НОМЕР КРЕДИТА</w:t>
      </w:r>
      <w:r>
        <w:rPr>
          <w:rFonts w:ascii="Arial" w:cs="Arial" w:eastAsia="Arial" w:hAnsi="Arial"/>
          <w:sz w:val="24"/>
          <w:szCs w:val="24"/>
        </w:rPr>
        <w:t xml:space="preserve"> _______-KGZ (COL)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КРЕДИТНОЕ СОГЛАШЕНИЕ
 (Обычные операции [на льготных условиях]) (Программа продвижения экономической диверсификации - Подпрограмма 3)
 между Кыргызской Республики и Азиатским банком развития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___________________</w:t>
      </w:r>
    </w:p>
    <w:p>
      <w:pPr>
        <w:spacing w:after="240" w:before="240"/>
        <w:jc w:val="right"/>
      </w:pPr>
      <w:r>
        <w:rPr>
          <w:rFonts w:ascii="Arial" w:cs="Arial" w:eastAsia="Arial" w:hAnsi="Arial"/>
          <w:sz w:val="24"/>
          <w:szCs w:val="24"/>
        </w:rPr>
        <w:t xml:space="preserve">KGZ 52225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от _________________ между КЫРГЫЗСКОЙ РЕСПУБЛИКОЙ ("Заемщик") и АЗИАТСКИМ БАНКОМ РАЗВИТИЯ ("АБР").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АБР получил от Заемщика письмо о политике развития от 5 августа 2022 года ("Письмо о политике"), в котором излагаются определенные цели, политика и действия, как описано в Приложении 1 к настоящему Кредитному соглашению для подготовки Программы продвижения экономической диверсификации Заемщика ("Программа");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Программа включает в себя третью подпрограмму программного подхода, как описано в пункте 1 Приложения 1 настоящего Кредитного соглашения, ("Программный подход"), и Заемщик обратился в АБР с просьбой о предоставлении кредита для целей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В соответствии с Грантовым соглашением между Заемщиком и АБР ("Грантовое соглашение"), АБР согласился предоставить грант Заемщику из ресурсов Специальных фондов АБР в сумме двадцати пяти миллионов (25000000) ("Грант") для целей финансирования расходов в рамках Программы;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АБР согласился предоставить льготный кредит Заемщику из обычных капитальных ресурсов АБР на условиях, изложенных в настоящем Соглашении;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стороны договариваются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I. Правила предоставления кредита;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1.01. Все положения Правил предоставления кредита на обычные операции (льготных кредитов) АБР от 1 января 2022 года ("Правила предоставления кредита") настоящим применяются к данному Кредитному соглашению с той же силой и действием, как если бы они были полностью изложены в настоящем Соглашении, однако, с учетом следующих изменений: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(а) Раздел 2.01(v) удален и заменен разделом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"Программа" означает программу, для которой АБР дал согласие на выдачу кредита, как описано в Кредитном соглашении и ее описании, и может периодически меняться по согласованию между АБР и Заемщиком;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Термин "Проект", по всему тексту Правил предоставления кредита заменить термином "Программа".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Раздел 2.01(х) удален и заменен разделом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"Исполнительное агентство Программы" означает организацию или организации, ответственные за выполнение Программы, согласно Кредитному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Термин "Исполнительное агентство Проекта" по всему тексту Правил предоставления кредита следует заменить термином "Исполнительное агентство Программы";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(e) Раздел 5.01(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удален.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1.02. Во всех случаях использования в настоящем Кредитном соглашении, несколько терминов, определение которых дается в Правилах предоставления кредита, имеют значения, указанные в настоящем соглашении, если они не будут изменены в данном документе, или если контекст не потребует их иного толкования. Другие термины, используемые в настоящем Кредитном соглашении, имеют следующие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"Средства со-финансирования" - местная валюта, полученная из Кредитных и/или Грантовых средств по Программе и упомянутых в пункте 4 Приложения 4 к настоящему Кредитному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"Депозитный счет" - счет, указанный в пункте 3 Приложения 3 к настоящему Кредитному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"Справочник по расходованию кредитных средств" - Справочник по расходованию кредитных средств АБР (2017 года со всеми последующими изменениями и дополнениями);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"МТСОМ" означает Министерство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(e) "МСХ" означает Министерство сельского хозяйства Кыргызской Республики или любой его правопреемник;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(f) "МЭК" Министерство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) "МОН" Министерство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(h) "МФ" Министерство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"НБКР" означает Национальный банк Кыргызской Республики или любой его правопреемник;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) "НАИ" означает Национальное агентство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) "Действия политики" означает действия политики, согласованные между Заемщиком и АБР, которые выполняются или должны быть выполнены Заемщиком в рамках Программы, как указано в Матрице структуры и мониторинга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) "Матрица структуры и мониторинга политики" означает Матрицу структуры и мониторинга политики, которая определяет действия политики, согласованные между Заемщиком и АБР;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) "Исполнительное агентство Программы" для целей и в значении Правил предоставления кредита означает МФ или любой его правопреемник, приемлемый для АБР, который несет ответственность за реализацию Программы.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II. Кредит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2.01. (а) АБР соглашается предоставить Заёмщику из капитальных ресурсов АБР кредит в сумме двадцати пяти миллионов долларов США ($25000000).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Срок погашения основной суммы кредита составляет 16 лет, а льготный период определен в подразделе (с), ниже.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Термин "льготный период", используемый в подразделе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выше, означает период, предшествующий наступлению Даты первой выплаты в счет погашения основной суммы кредита в соответствии с графиком погашения, представленным в Приложении 2 к настоящему Кредитному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2.02. Заемщик выплачивает АБР проценты, подлежащие уплате в размере 1% в год в течение льготного периода, и после этого 1,5% в год от суммы кредита, снятой со счета Кредита и непогашенного к тому времени остатка.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2.03. Начисляемые проценты и любые другие виды выплат по Кредиту выплачиваются раз в полгода 15 марта и 15 сентября каждый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2.04. Заемщик обязан погасить основную сумму Кредита, снятую со Счета Кредита, в соответствии с графиком погашения, представленным в Приложении 2 к настоящему Кредитному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2.05. Валютой погашения основной суммы Кредита и валютой выплаты процентов для целей Разделов 4.03(а) и 4.04 Правил предоставления кредита является доллар США.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Использование средств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3.01. Заемщик предпримет меры для того, чтобы средства Кредита применялись исключительно для финансирования расходов по Программе, в соответствии с положениями настоящего Кредитного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3.02. Кредитные средства снимаются в соответствии с условиями Приложения 3 к данному Кредитному соглашению, так как в такое Приложение при необходимости могут вноситься изменения по согласованию между Заемщиком и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3.03. Датой закрытия Кредита для целей Раздела 8.02 Правил предоставления кредита является 31 октября 2023 года или иная дата, которая может периодически согласовываться между Заемщиком и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IV. Особые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4.01. В ходе реализации Программы Заемщик выполнит или обеспечит выполнение всех обязательств, изложенных в Приложении 4 к настоящему Кредитному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4.02. В рамках отчетов и информации, упомянутых в Разделе 6.05 Правил предоставления кредита Заемщик предоставляет или обеспечивает предоставление в АБР всех отчетов и информации, которые АБР сочтет нужным затребовать о ходе реализации Программы, включая достижение целей и меры, изложенные в Письме политики.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V. Приостановление; Досрочное погашение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5.01. Следующее определено в качестве дополнительного события для приостановления права Заемщика совершать изъятие средств со счета Кредита для целей раздела 8.01(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) Правил предоставления кредита: Грант подлежит приостановлению и аннулированию.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5.02. Следующее определено в качестве дополнительного события для досрочного взыскания для целей раздела 8.07(d) Правил предоставления кредита: если свершилось событие, определенное в Разделе 5.01 Кредитного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Вступление в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6.01. В качестве дополнительных условий вступления настоящего Кредитного договора в силу для целей, указанных в Разделе 9.01(f) Правил предоставления кредита, указаны следующие: Грантовое соглашение должно быть надлежащим образом оформлено и доставлено от имени Заемщика, и все условия, предшествующие его вступлению в силу (кроме условия, требующего вступления в силу настоящего Кредитного соглашения), должны быть выполнены.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6.02. В качестве дополнительного пункта для целей раздела 9.02(d) Правил предоставления кредита, подлежащего введению в заключение или заключения, представляемые в АБР, указывается следующее: Грантовое соглашение было должным образом утверждено или ратифицировано, оформлено и передано от его имени и является юридически обязательным для Заемщика в соответствии с его условиями, только при условии вступления в силу настоящего Кредитного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6.03. Для целей Раздела 9.04 Правил предоставления кредита, для вступления в силу настоящего Кредитного соглашения устанавливается срок в 90 дней со дня заключения настоящего Кредитного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7.01. Министр финансов Заемщика назначается представителем Заемщика для целей Раздела 11.02 Правил предоставления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7.02. Следующие адреса указаны для целей Раздела 11.01 Правил предоставления кредита: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Заемщик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720040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Бул. Эркиндик, 58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Факс: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(966) 312-661-645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 ADB Avenue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Mandaluyong City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1550 Metro Manila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Philippines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Факс: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(632) 8636-2444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(632) 8636-2424.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УДОСТОВЕРЕНИЕ ЧЕГО, стороны настоящего Соглашения, действуя через должным образом уполномоченных представителей, поставили свои подписи под настоящим Кредитным соглашением в указанные выше день и год, и доставили настоящее Кредитное соглашение в головной офис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         [Имя и должность]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АЗИАТСКОГО БАНКА РАЗВИТИЯ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        [Имя и должность]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Основная цель Программного подхода состоит в том, чтобы постепенно диверсифицировать экономику Заемщика от использования природных ресурсов и потребления за счет денежных переводов, и включает в себя следующие направления: (а) повышение торговой и инвестиционной конкурентоспособности,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развитие малых и средних предприятий, (с) развитие государственно-частного партнерства, (d) развитие профессиональных навыков, связанных с отраслями и (е) повышение устойчивой финансовой и социальной защиты для обеспечения восстановления после коронавирусной болезни. Программный подход состоит из 3 подпрограмм, и Программа является третьей подпрограммой. Программа более подробно описана в Письме о политике и Матрице структуры и мониторинга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Программа завершена на 31 августа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 погашения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Причитающийся платеж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Выплата основного долга(1)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Заплатить до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Оплата основного долга
 (выражено в долларах)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2031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 2031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2032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 2032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2033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 2033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2034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 2034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2035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 2035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2036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 2036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2037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 2037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2038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 2038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2039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 2039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2040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 2040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2041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 2041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2042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 2042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2043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 2043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2044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 2044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2045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 2045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2046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 2046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25,000,000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Договоренности о выплатах при наступлении каждого срока погашения заключаются в соответствии с положениями Разделов 3.04 и 4.03 Правил предоставления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Снятие средств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исключением случаев, предусмотренных в настоящем Приложении или в отсутствие иных договоренностей с АБР, средства Кредита выплачиваются в соответствии со Справочником по расходованию кредитных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Заемщик представляет в АБР заявку на снятие средств со счета Кредита в форме, приемлемой для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(а) До подачи первой заявки в АБР для снятия средств со счета Кредита, Заемщик открывает счет (Депозитный счет) в НБКР, на который зачисляются все снимаемые средства со счета Кредита. Депозитный счет открывается, управляется и ликвидируется в соответствии с применимыми правилами и процедурами Заемщика.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Отдельные счета и записи в отношении Депозитного счета должны вестись в соответствии с принципами бухгалтерского учета, приемлемыми для АБР. По запросу АБР Заемщик должен иметь финансовые отчеты по Депозитному счету, проверенные независимыми аудиторами, чья квалификация, опыт и круг полномочий приемлемы для АБР, в соответствии с международными стандартами аудита или национальным эквивалентом, приемлемым для АБР. Сразу после их подготовки, но в любом случае не позднее, чем через 6 месяцев после даты запроса АБР, копии таких проверенных финансовых отчетов и заключение аудиторов о финансовых отчетах на английском языке предоставляются в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Кредитные средства не могут быть сняты со счета для финансирования любого товара, указанного в Дополнении к настоящему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Несмотря на любые другие положения настоящего Кредитного соглашения и за исключением случаев, когда АБР может договориться об ином, никакое снятие средств со счета Кредита не производится, если (i) Заемщик выполнил Действия политики для выдачи средств Кредита, и если (ii) эти Действия политики утратили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Дополнение к Приложению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неправомочных статей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Кредитные средств не могут сниматься для следующих целей: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расходы, связанные с товарами, включенными в следующие группы или подгруппы Международной стандартной торговой классификации ООН (3-я редакция МСТК) или в группы либо подгруппы, входящие в последующие редакции МСТК, о которых АБР известит Заемщика: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Таблица: Неприемлемые статьи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8"/>
        <w:gridCol w:w="1282"/>
        <w:gridCol w:w="8057"/>
      </w:tblGrid>
      <w:tr>
        <w:tc>
          <w:tcPr>
            <w:tcW w:type="dxa" w:w="8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Заголовок</w:t>
            </w:r>
          </w:p>
        </w:tc>
        <w:tc>
          <w:tcPr>
            <w:tcW w:type="dxa" w:w="8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 статей</w:t>
            </w:r>
          </w:p>
        </w:tc>
      </w:tr>
      <w:tr>
        <w:tc>
          <w:tcPr>
            <w:tcW w:type="dxa" w:w="8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Алкогольные напитки</w:t>
            </w:r>
          </w:p>
        </w:tc>
      </w:tr>
      <w:tr>
        <w:tc>
          <w:tcPr>
            <w:tcW w:type="dxa" w:w="8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неготовый; табачные отходы</w:t>
            </w:r>
          </w:p>
        </w:tc>
      </w:tr>
      <w:tr>
        <w:tc>
          <w:tcPr>
            <w:tcW w:type="dxa" w:w="8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готовый (содержащий или не содержащий табачные заменители)</w:t>
            </w:r>
          </w:p>
        </w:tc>
      </w:tr>
      <w:tr>
        <w:tc>
          <w:tcPr>
            <w:tcW w:type="dxa" w:w="8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Радиоактивные и связанные с ними материалы</w:t>
            </w:r>
          </w:p>
        </w:tc>
      </w:tr>
      <w:tr>
        <w:tc>
          <w:tcPr>
            <w:tcW w:type="dxa" w:w="8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Жемчуг, драгоценные и полудрагоценные камни, необработанные или обработанные</w:t>
            </w:r>
          </w:p>
        </w:tc>
      </w:tr>
      <w:tr>
        <w:tc>
          <w:tcPr>
            <w:tcW w:type="dxa" w:w="8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718.7</w:t>
            </w:r>
          </w:p>
        </w:tc>
        <w:tc>
          <w:tcPr>
            <w:tcW w:type="dxa" w:w="8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Ядерные реакторы и их детали, тепловыделяющие элементы (кассеты), необлученные для ядерных реакторов</w:t>
            </w:r>
          </w:p>
        </w:tc>
      </w:tr>
      <w:tr>
        <w:tc>
          <w:tcPr>
            <w:tcW w:type="dxa" w:w="8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728.43</w:t>
            </w:r>
          </w:p>
        </w:tc>
        <w:tc>
          <w:tcPr>
            <w:tcW w:type="dxa" w:w="8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для подготовки или обработки табака</w:t>
            </w:r>
          </w:p>
        </w:tc>
      </w:tr>
      <w:tr>
        <w:tc>
          <w:tcPr>
            <w:tcW w:type="dxa" w:w="8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897.3</w:t>
            </w:r>
          </w:p>
        </w:tc>
        <w:tc>
          <w:tcPr>
            <w:tcW w:type="dxa" w:w="8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из золота, серебра и металлов платиновой группы (кроме наручных часов и корпусов для наручных часов) и золотые или серебряные изделия (включая драгоценные камни в оправе)</w:t>
            </w:r>
          </w:p>
        </w:tc>
      </w:tr>
      <w:tr>
        <w:tc>
          <w:tcPr>
            <w:tcW w:type="dxa" w:w="8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Золото, немонетарное (кроме золотой руды и концентратов)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Источник: Организация Объединенных Наций.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расходы, связанные с товарами, поставленными на основе контрактов, которые будут финансироваться национальными или международными финансовыми организациями или агентствами, или согласованы для финансирования, включая все контракты, финансируемые в рамках кредитов или грантов от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(iii) расходы, связанные с товарами, предназначенными для военных или полувоенных целей, или с предметами роскоши;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(iv) расходы на наркотики;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(v) расходы на экологически опасные материалы, производство, использование или импорт которых запрещен в соответствии с законодательством Заемщика или с международными соглашениями, к которым присоединился Заемщик;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(vi) расходы, связанные с платежами, запрещенными Заемщиком в соответствии с решением Совета Безопасности Организации Объединенных Наций, принятым в соответствии с Главой VII Устава Организации Объединенных Наций.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Реализация программы и другие вопросы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Механизмы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финансов является Исполнительным агентством Программы Заемщика и Реализующим агентством Программы. МЭК, МОН, МСХ, МТСОМ и НАИ будут Исполнительными агентствами Программы. Заемщик через Исполнительное агентство Программы и реализующие агентства несет ответственность за реализацию Программы, включая мониторинг и отчетность по реализации Программы.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Действия политики и диалог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Заемщик обеспечивает, чтобы все действия политики, принятые в рамках Программы, продолжали иметь силу в течение всего срока действия Программного подхода.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Заемщик информирует АБР об обсуждениях политики с другими многосторонними и двусторонними агентствами помощи, которые могут иметь последствия для реализации Программы, и предоставляет АБР возможность прокомментировать любые вытекающие предложения по политике. Заемщик принимает во внимание мнение АБР до завершения разработки и реализации любого такого предложения.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встречных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Заемщик обеспечивает использование встречных средств для финансирования реализации определенных программ и мероприятий, соответствующих целям Программы.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Управление и борьба с коррупцией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Заемщик, Исполнительное агентство и исполнительные агентства Программы должны (а) соблюдать Антикоррупционную политику АБР (1998 г., со всеми изменениями и дополнениями) и признать, что АБР оставляет за собой право проводить расследование напрямую или через своих агентов в отношении любых предполагаемых коррупционных и мошеннических действий, сговор или принуждение в отношении Программы; и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сотрудничать с любым таким расследованием и оказывать всю необходимую помощь для удовлетворительного завершения такого расследования.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и анализ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Заемщик обеспечивает, чтобы отчетность о воздействии Программы после завершения Программы была предоставлена Исполнительным агентством Программы в АБР. Исполнительное агентство программы, по мере необходимости, проводит консультативные встречи с заинтересованными сторонами и сообществом партнеров по развитию, чтобы получить их отзывы о новых правилах и влиянии Программного подхода.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Заемщик и АБР совместно оценивают воздействие и оценивают преимущества Программы в течение 12 месяцев после Даты вступления в силу, в соответствии с системой управления эффективностью АБР. Заемщик и АБР могут использовать результаты такого анализа и оценки при усовершенствовании Программного подхода.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Заемщик составляет и представляет в АБР полугодовые консолидированные отчеты о ходе реализации политических и институциональных реформ в рамках Программного подхода и о любых изменениях в графике реализации, а также указывает любые возникшие проблемы и принятые меры по исправлению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НОМЕР ГРАНТА _________-KGZ (SF)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ГРАНТОВОЕ СОГЛАШЕНИЕ
 (Специальные операции) (Программа продвижения экономической диверсификации - Подпрограмма 3)
 между Кыргызской Республикой и Азиатским банком развития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___________________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KGZ 52225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ГРАНТОВОЕ СОГЛАШЕНИЕ от ___________________ между Кыргызской Республикой ("Получатель") и Азиатским банком развития ("АБР"),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АБР получил от Получателя письмо о политике развития от 5 августа 2022 года ("Письмо о политике"), в котором излагаются определенные цели, политика и действия, описанные в Приложении 1 Кредитного соглашения (как описано ниже), которое было разработано с целью подготовки Программы продвижения экономической диверсификации в стране Получателя ("Программа");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Программа включает в себя третью подпрограмму программного подхода, как описано в пункте 1 Приложения 1 Кредитного соглашения, (как определено ниже) ("Программный подход"), и Получатель обратился в АБР с просьбой о предоставлении гранта для целей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Путем заключения кредитного соглашения между Получателем и АБР ("Кредитное соглашение"), АБР согласился предоставить Получателю льготный кредит из обычных капитальных ресурсов АБР в размере двадцати пяти миллионов долларов (25000000 долларов США) для целей Программы ("Кредит"); а также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АБР согласился предоставить грант Получателю из ресурсов Специальных фондов АБР на условиях, сформулированных в настоящем документе;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стороны договариваются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I. Правила предоставления гранта;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1.01. Все положения Правил предоставления гранта по Специальным операциям АБР в редакции, принятой 1 января 2022 года ("Правила предоставления гранта"), применимы к данному Грантовому соглашению в той же силе и том же объеме, как если бы они были полностью изложены в настоящем Соглашении, однако, с учетом следующих изменений: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(а) Раздел 2.01(I) удален и заменен разделом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"Программа" означает программу, для которой АБР дал согласие на выдачу Гранта, как описано в Грантовом соглашении и ее описании, и может периодически меняться по согласованию между АБР и Получателем;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Термин "Проект", по всему тексту Правил предоставления гранта следует заменить термином "Программа".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Раздел 2.01(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) удален и заменен разделом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"Исполнительное агентство Программы" означает организацию или организации, ответственные за выполнение Программы, согласно Грантовому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Термин "Исполнительное агентство Проекта" по всему тексту Правил предоставления гранта следует заменить термином "Исполнительное агентство Программы";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(e) Раздел 5.01(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удален.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1.02. Во всех случаях использования в настоящем Грантовом соглашении, отдельные термины, определение которых дается в Правилах предоставления гранта, имеют значения, указанные в настоящем Грантовом соглашении, если они не будут изменены в данном документе, или если контекст не потребует их иного толкования. Дополнительные термины, используемые в Грантовом Соглашении, имеют следующее значение: "Депозитный счет" - счет, указанный в пункте 3 Приложения к настоящему Грантовому соглашению.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II. Грант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2.01. АБР согласен предоставить Получателю средства из Специальных фондов АБР в размере двадцати пяти миллионов (25000000) долларов США на срок и на условиях, изложенных в данном Грантовом соглашении.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III. Использование средств 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3.01. Получатель обеспечивает использование средств Гранта на финансирование расходов по Программе в соответствии с положениями настоящего Грантового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3.02. Средства Гранта должны сниматься в соответствии с положениями Приложения к настоящему Грантовому соглашению, а в само Приложение могут периодически вноситься поправки по согласованию между Получателем и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3.03. Датой закрытия Гранта для целей раздела 8.02 Правил предоставления гранта является 31 октября 2023 года или другая дата, которая, в случае необходимости, может быть согласована между Получателем и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IV. Особые условия [ковенанты]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4.01. При выполнении Программы Получатель должен исполнить или обеспечить исполнение всех обязательств, изложенных в Приложении 4 Кредитного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4.02. В рамках отчетов и информации, упомянутых в Разделе 6.04 Правил предоставления гранта Получатель предоставляет или обеспечивает предоставление в АБР всех отчетов и информации, которые АБР сочтет нужным затребовать о ходе реализации Программы, включая достижение целей и выполнение Действий политики.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V. Приостановление прав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5.01. Следующее определено в качестве дополнительного события для приостановления права Получателя совершать снятия средств со счета Гранта для целей, указанных в Разделе 8.01(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) Правил предоставления гранта или аннулирование Гранта в соответствии с Разделом 8.02 Правил предоставления гранта: Кредит по Кредитному соглашению подлежит приостановке или аннулированию, или подлежит погашению до согласованной даты погашения.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VI. Вступление в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6.01. В качестве дополнительных условий для вступления в силу настоящего Грантового соглашения для целей, указанных в Разделе 9.01 Е) Правил предоставления гранта указываются следующие: Кредитное соглашение должно быть надлежащим образом оформлено и доставлено от имени Получателя, и все условия, предшествующие его вступлению в силу (кроме условия, требующего вступления в силу настоящего Грантового соглашения), должны быть выполнены.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6.02. В качестве дополнительного пункта для целей раздела 9.02(d) Правил предоставления гранта, подлежащего введению в заключение или заключения, представляемые в АБР, указывается следующее: Кредитное соглашение было должным образом утверждено или ратифицировано, оформлено и передано от его имени и является юридически обязательным для Заемщика в соответствии с его условиями, только при условии вступления в силу настоящего Грантового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6.03. Для целей Раздела 9.04 Правил предоставления грантов, для вступления в силу настоящего Грантового соглашения устанавливается срок в 90 дней со дня заключения настоящего Грантового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VII.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7.01. Министр финансов Получателя назначается представителем Получателя для целей Раздела 11.02 Правил предоставления гранта.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7.02. Следующие адреса указаны для целей Раздела 11.01 Правил предоставления гранта: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Получатель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Бульвар Эркиндик,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Бишкек, 720040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Факс: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(996) 312 661 645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 ADB Avenue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Mandaluyong City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1550 Metro Manila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Philippines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Факс: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(632) 8636-2444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(632) 8636-2424.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УДОСТОВЕРЕНИЕ ЧЕГО, стороны настоящего Соглашения, действуя через должным образом уполномоченных представителей, поставили свои подписи под настоящим Грантовым соглашением в указанные выше день и год, и доставили настоящее Грантовое соглашение в головной офис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         [Имя и должность]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АЗИАТСКОГО БАНКА РАЗВИТИЯ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        [Имя и должность]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Распределение и снятие средств 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исключением случаев, указанных в настоящем Приложении или в отсутствие иных договоренностей с АБР, средства Гранта должны выплачиваться в соответствии со Справочником по расходованию кредитных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Заявка на снятие средств с Грантового счета должна быть представлена Получателем в АБР в форме, приемлемой для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(а) До подачи в АБР первой заявки на снятие средств с Грантового счета Получатель указывает счет (Депозитный счет) в НБКР, на который будут зачисляться все средства для снятия с Грантового счета. Депозитный счет открывается, используется и закрывается в соответствии с условиями и процедурами 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В отношении депозитного счета ведется отдельный учет и документация в соответствии с принципами бухгалтерского учета, приемлемыми для АБР. По требованию АБР Получатель обеспечивает проверку финансовой отчетности по Депозитному счету независимыми аудиторами, квалификация, опыт и техническое задание которых будут приемлемыми для АБР, в соответствии с международными стандартами аудита или эквивалентными национальными стандартами аудита, приемлемыми для АБР. Сразу после их подготовки, но в любом случае не позднее, чем через 6 месяцев после даты получения запроса АБР, копии таких проверенных аудиторами финансовых отчетов и заключений аудиторов в отношении финансовой отчетности на английском языке представляются в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Грантовые средства не могут сниматься со счета и использоваться для финансирования любого из товаров, указанных в Дополнении к настоящему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Несмотря на любые другие положения настоящего Грантового соглашения и за исключением случаев, когда АБР может договориться об ином, снятия средств с Грантового счета не производится, если (i) Получатель не выполнил Действия политики для выдачи средств Гранта, или (ii) если Программные действия продолжают действовать.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Дополнение к Приложению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неправомочных статей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Грантовые средств не могут сниматься для следующих целей: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расходы, связанные с товарами, включенными в следующие группы или подгруппы Международной стандартной торговой классификации ООН (3-я редакция МСТК) или в группы либо подгруппы, входящие в последующие редакции МСТК, о которых АБР известит Получателя: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Таблица: Неприемлемые товары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5"/>
        <w:gridCol w:w="1254"/>
        <w:gridCol w:w="7969"/>
      </w:tblGrid>
      <w:tr>
        <w:tc>
          <w:tcPr>
            <w:tcW w:type="dxa" w:w="9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</w:t>
            </w:r>
          </w:p>
        </w:tc>
        <w:tc>
          <w:tcPr>
            <w:tcW w:type="dxa" w:w="1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Позиция</w:t>
            </w:r>
          </w:p>
        </w:tc>
        <w:tc>
          <w:tcPr>
            <w:tcW w:type="dxa" w:w="7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 товаров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Алкогольные напитки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Табак, неготовый; табачные отходы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готовый (содержащий или не содержащий табачные заменители)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Радиоактивные и связанные с ними материалы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Жемчуг, драгоценные и полудрагоценные камни, необработанные или обработанные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718.7</w:t>
            </w:r>
          </w:p>
        </w:tc>
        <w:tc>
          <w:tcPr>
            <w:tcW w:type="dxa" w:w="79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Ядерные реакторы и их детали; тепловыделяющие элементы (кассеты), необлученные, для ядерных реакторов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728.43</w:t>
            </w:r>
          </w:p>
        </w:tc>
        <w:tc>
          <w:tcPr>
            <w:tcW w:type="dxa" w:w="79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для подготовки или обработки табака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897.3</w:t>
            </w:r>
          </w:p>
        </w:tc>
        <w:tc>
          <w:tcPr>
            <w:tcW w:type="dxa" w:w="79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из золота, серебра и металлов платиновой группы (кроме наручных часов и корпусов для наручных часов) и золотые или серебряные изделия (включая драгоценные камни в оправе)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Золото, немонетарное (за исключением золотой руды и концентратов)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Источник: Организация Объединенных Наций.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расходы, связанные с товарами, поставленными на основе контрактов, которые будут финансироваться национальными или международными финансовыми организациями или агентствами, или согласованы для финансирования, включая все контракты, финансируемые в рамках кредитов или грантов от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) расходы, связанные с товарами, предназначенными для военных или полувоенных целей, или с предметами роскоши;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(iv) расходы на наркотики;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(v) расходы на экологически опасные материалы, производство, использование или импорт которых запрещен в соответствии с законодательством Получателя или с международными соглашениями, к которым присоединился Получатель,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(vi) расходы, связанные с платежами, запрещенными Получателем в соответствии с решением Совета Безопасности Организации Объединенных Наций, принятым в соответствии с Главой VII Устава Организации Объединенных Наций.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mipgdxqiqcssmnrrl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dalil.kg/document/219228</w:t>
      </w:r>
    </w:hyperlink>
  </w:p>
  <w:p>
    <w:pPr>
      <w:spacing w:after="0" w:before="40"/>
      <w:jc w:val="center"/>
    </w:pPr>
    <w:hyperlink w:history="1" r:id="rIdktrublglgru_ufay5pj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8ajbuclnr5sn1hm0am8" Type="http://schemas.openxmlformats.org/officeDocument/2006/relationships/hyperlink" Target="https://dalil.kg/document/219228#pr1" TargetMode="External"/><Relationship Id="rIddatbgnfr1qyu8uuwmozyy" Type="http://schemas.openxmlformats.org/officeDocument/2006/relationships/hyperlink" Target="https://dalil.kg/document/219228#pr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mipgdxqiqcssmnrrlrt" Type="http://schemas.openxmlformats.org/officeDocument/2006/relationships/hyperlink" Target="https://dalil.kg/document/219228" TargetMode="External"/><Relationship Id="rIdktrublglgru_ufay5pj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2026-09-30T01:00:39.094Z</dcterms:created>
  <dcterms:modified xsi:type="dcterms:W3CDTF">2026-09-30T01:00:39.094Z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