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июня 2023 года № 284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xcse2gj-ubg41ord60phs">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drxpns7qh6cchcakvsnqw">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w:t>
      </w:r>
      <w:hyperlink w:history="1" r:id="rId08oajytmt9vwokxkuxklm">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проекту Закона Кыргызской Республики "Об отходах производства и потребления", инициированному депутатом Жогорку Кенеша Кыргызской Республики М.А.Маматалиевым, согласно приложению.</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hyperlink w:history="1" r:id="rIdwlrvxx7ao166vhpgbiiv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Кыргызской Республики</w:t>
      </w:r>
      <w:r>
        <w:rPr>
          <w:rFonts w:ascii="Arial" w:cs="Arial" w:eastAsia="Arial" w:hAnsi="Arial"/>
          <w:i/>
          <w:iCs/>
          <w:sz w:val="24"/>
          <w:szCs w:val="24"/>
        </w:rPr>
        <w:t xml:space="preserve">от 14 июня 2023 года № 284</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Кабинета Министров Кыргызской Республики к проекту Закона Кыргызской Республики "Об отходах производства и потребления"</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xw4iexwbkqhqd9af7j9ty">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"Об отходах производства и потребления" (далее - проект Закона), инициированный депутатом Жогорку Кенеша Кыргызской Республики М.А.Маматалиевым, приходит к следующему заключению:</w:t>
      </w:r>
    </w:p>
    <w:p>
      <w:pPr>
        <w:spacing w:after="60"/>
        <w:ind w:firstLine="567"/>
        <w:jc w:val="both"/>
      </w:pPr>
      <w:r>
        <w:rPr>
          <w:rFonts w:ascii="Arial" w:cs="Arial" w:eastAsia="Arial" w:hAnsi="Arial"/>
          <w:sz w:val="24"/>
          <w:szCs w:val="24"/>
        </w:rPr>
        <w:t xml:space="preserve">1. Согласно части 2 </w:t>
      </w:r>
      <w:hyperlink w:history="1" r:id="rIdyokbbws7bwr_fwzkhwgyj">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60"/>
        <w:ind w:firstLine="567"/>
        <w:jc w:val="both"/>
      </w:pPr>
      <w:r>
        <w:rPr>
          <w:rFonts w:ascii="Arial" w:cs="Arial" w:eastAsia="Arial" w:hAnsi="Arial"/>
          <w:sz w:val="24"/>
          <w:szCs w:val="24"/>
        </w:rPr>
        <w:t xml:space="preserve">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60"/>
        <w:ind w:firstLine="567"/>
        <w:jc w:val="both"/>
      </w:pPr>
      <w:r>
        <w:rPr>
          <w:rFonts w:ascii="Arial" w:cs="Arial" w:eastAsia="Arial" w:hAnsi="Arial"/>
          <w:sz w:val="24"/>
          <w:szCs w:val="24"/>
        </w:rPr>
        <w:t xml:space="preserve">В связи с этим и в целях обеспечения внутренне согласованной и логично построенной структуры, а также исключения дублирующих норм и противоречий с другими нормативными правовыми актами, в статье 1 проекта необходимо предусмотреть четкий предмет регулирования данного Закона, содержащий системное регулирование вопросов отходов производства, потребления, и его границы (другие законодательные акты могут регулировать вопросы отходов производства и потребления в части, не противоречащей данному Закону).</w:t>
      </w:r>
    </w:p>
    <w:p>
      <w:pPr>
        <w:spacing w:after="60"/>
        <w:ind w:firstLine="567"/>
        <w:jc w:val="both"/>
      </w:pPr>
      <w:r>
        <w:rPr>
          <w:rFonts w:ascii="Arial" w:cs="Arial" w:eastAsia="Arial" w:hAnsi="Arial"/>
          <w:sz w:val="24"/>
          <w:szCs w:val="24"/>
        </w:rPr>
        <w:t xml:space="preserve">2. В соответствии с частью 2 </w:t>
      </w:r>
      <w:hyperlink w:history="1" r:id="rIdhtalojr7rszzvc6uvgs6y">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Гражданского кодекса Кыргызской Республики,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pPr>
        <w:spacing w:after="60"/>
        <w:ind w:firstLine="567"/>
        <w:jc w:val="both"/>
      </w:pPr>
      <w:r>
        <w:rPr>
          <w:rFonts w:ascii="Arial" w:cs="Arial" w:eastAsia="Arial" w:hAnsi="Arial"/>
          <w:sz w:val="24"/>
          <w:szCs w:val="24"/>
        </w:rPr>
        <w:t xml:space="preserve">В связи с чем, часть 2 статьи 4 проекта Закона предлагаем дополнить абзацем следующего содержания:</w:t>
      </w:r>
    </w:p>
    <w:p>
      <w:pPr>
        <w:spacing w:after="60"/>
        <w:ind w:firstLine="567"/>
        <w:jc w:val="both"/>
      </w:pPr>
      <w:r>
        <w:rPr>
          <w:rFonts w:ascii="Arial" w:cs="Arial" w:eastAsia="Arial" w:hAnsi="Arial"/>
          <w:sz w:val="24"/>
          <w:szCs w:val="24"/>
        </w:rPr>
        <w:t xml:space="preserve">"При этом отказ от права собственности на отходы не влечет за собой прекращение прав и обязанностей собственника в отношении этих отходов до момента приобретения права собственности на них другим юридическим или физическим лицом.".</w:t>
      </w:r>
    </w:p>
    <w:p>
      <w:pPr>
        <w:spacing w:after="60"/>
        <w:ind w:firstLine="567"/>
        <w:jc w:val="both"/>
      </w:pPr>
      <w:r>
        <w:rPr>
          <w:rFonts w:ascii="Arial" w:cs="Arial" w:eastAsia="Arial" w:hAnsi="Arial"/>
          <w:sz w:val="24"/>
          <w:szCs w:val="24"/>
        </w:rPr>
        <w:t xml:space="preserve">3. В части 5 статьи 4 проекта Закона предлагается установить, что пользователи земельных участков несут в установленном законом порядке ответственность за образование отходов на своей территории.</w:t>
      </w:r>
    </w:p>
    <w:p>
      <w:pPr>
        <w:spacing w:after="60"/>
        <w:ind w:firstLine="567"/>
        <w:jc w:val="both"/>
      </w:pPr>
      <w:r>
        <w:rPr>
          <w:rFonts w:ascii="Arial" w:cs="Arial" w:eastAsia="Arial" w:hAnsi="Arial"/>
          <w:sz w:val="24"/>
          <w:szCs w:val="24"/>
        </w:rPr>
        <w:t xml:space="preserve">При этом предлагаем уточнить какую именно ответственность несут пользователи земельных участков и в каком нормативном правовом акте предусмотрена такая ответственность.</w:t>
      </w:r>
    </w:p>
    <w:p>
      <w:pPr>
        <w:spacing w:after="60"/>
        <w:ind w:firstLine="567"/>
        <w:jc w:val="both"/>
      </w:pPr>
      <w:r>
        <w:rPr>
          <w:rFonts w:ascii="Arial" w:cs="Arial" w:eastAsia="Arial" w:hAnsi="Arial"/>
          <w:sz w:val="24"/>
          <w:szCs w:val="24"/>
        </w:rPr>
        <w:t xml:space="preserve">4. В статье 5 проекта Закона устанавливаются полномочия местных органов государственной власти.</w:t>
      </w:r>
    </w:p>
    <w:p>
      <w:pPr>
        <w:spacing w:after="60"/>
        <w:ind w:firstLine="567"/>
        <w:jc w:val="both"/>
      </w:pPr>
      <w:r>
        <w:rPr>
          <w:rFonts w:ascii="Arial" w:cs="Arial" w:eastAsia="Arial" w:hAnsi="Arial"/>
          <w:sz w:val="24"/>
          <w:szCs w:val="24"/>
        </w:rPr>
        <w:t xml:space="preserve">Согласно части 2 </w:t>
      </w:r>
      <w:hyperlink w:history="1" r:id="rIdvqqitll08ta35klglpkia">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местная государственная администрация - подчиненный Президенту Кыргызской Республики и Кабинету Министров Кыргызской Республики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государственных полномочий.</w:t>
      </w:r>
    </w:p>
    <w:p>
      <w:pPr>
        <w:spacing w:after="60"/>
        <w:ind w:firstLine="567"/>
        <w:jc w:val="both"/>
      </w:pPr>
      <w:r>
        <w:rPr>
          <w:rFonts w:ascii="Arial" w:cs="Arial" w:eastAsia="Arial" w:hAnsi="Arial"/>
          <w:sz w:val="24"/>
          <w:szCs w:val="24"/>
        </w:rPr>
        <w:t xml:space="preserve">При этом согласно </w:t>
      </w:r>
      <w:hyperlink w:history="1" r:id="rIdbsigo4vhternt_dpvptbs">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вышеуказанного Закона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60"/>
        <w:ind w:firstLine="567"/>
        <w:jc w:val="both"/>
      </w:pPr>
      <w:r>
        <w:rPr>
          <w:rFonts w:ascii="Arial" w:cs="Arial" w:eastAsia="Arial" w:hAnsi="Arial"/>
          <w:sz w:val="24"/>
          <w:szCs w:val="24"/>
        </w:rPr>
        <w:t xml:space="preserve">Так в законодательстве Кыргызской Республики не существует понятия "местных органов государственной власти", имеется понятие "местная государственная администрация" и "орган местного самоуправления".</w:t>
      </w:r>
    </w:p>
    <w:p>
      <w:pPr>
        <w:spacing w:after="60"/>
        <w:ind w:firstLine="567"/>
        <w:jc w:val="both"/>
      </w:pPr>
      <w:r>
        <w:rPr>
          <w:rFonts w:ascii="Arial" w:cs="Arial" w:eastAsia="Arial" w:hAnsi="Arial"/>
          <w:sz w:val="24"/>
          <w:szCs w:val="24"/>
        </w:rPr>
        <w:t xml:space="preserve">Кроме этого, следует учесть, что местное самоуправление осуществляется на принципах разграничения функций и полномочий государственных органов и органов местного самоуправления и согласно </w:t>
      </w:r>
      <w:hyperlink w:history="1" r:id="rIddldlgqaljjvaj4owit0j6">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вышеуказанного Закона, органы местного самоуправления осуществляют свою деятельность в соответствии с вопросами местного значения.</w:t>
      </w:r>
    </w:p>
    <w:p>
      <w:pPr>
        <w:spacing w:after="60"/>
        <w:ind w:firstLine="567"/>
        <w:jc w:val="both"/>
      </w:pPr>
      <w:r>
        <w:rPr>
          <w:rFonts w:ascii="Arial" w:cs="Arial" w:eastAsia="Arial" w:hAnsi="Arial"/>
          <w:sz w:val="24"/>
          <w:szCs w:val="24"/>
        </w:rPr>
        <w:t xml:space="preserve">С учетом изложенного предлагаем в проекте Закона полномочия органов местного самоуправления и местной государственной администрации расписать отдельно в соответствии с их функциями и полномочиями.</w:t>
      </w:r>
    </w:p>
    <w:p>
      <w:pPr>
        <w:spacing w:after="60"/>
        <w:ind w:firstLine="567"/>
        <w:jc w:val="both"/>
      </w:pPr>
      <w:r>
        <w:rPr>
          <w:rFonts w:ascii="Arial" w:cs="Arial" w:eastAsia="Arial" w:hAnsi="Arial"/>
          <w:sz w:val="24"/>
          <w:szCs w:val="24"/>
        </w:rPr>
        <w:t xml:space="preserve">5. В абзаце четвертом части 1 статьи 7 проекта Закона предлагается установить обязанность юридических лиц и индивидуальных предпринимателей в виде разработки и утверждения инструкций по обращению с отходами производства, а также обеспечение их соблюдения.</w:t>
      </w:r>
    </w:p>
    <w:p>
      <w:pPr>
        <w:spacing w:after="60"/>
        <w:ind w:firstLine="567"/>
        <w:jc w:val="both"/>
      </w:pPr>
      <w:r>
        <w:rPr>
          <w:rFonts w:ascii="Arial" w:cs="Arial" w:eastAsia="Arial" w:hAnsi="Arial"/>
          <w:sz w:val="24"/>
          <w:szCs w:val="24"/>
        </w:rPr>
        <w:t xml:space="preserve">При этом отмечаем, что в абзаце четвертом статьи 6 проекта Закона установлено, что компетентный орган исполнительной власти в области охраны окружающей среды разрабатывает и утверждает правила и нормы, регламентирующие порядок обращения с отходами и устанавливающие требования к безопасности отходов окружающей среде и здоровью человека.</w:t>
      </w:r>
    </w:p>
    <w:p>
      <w:pPr>
        <w:spacing w:after="60"/>
        <w:ind w:firstLine="567"/>
        <w:jc w:val="both"/>
      </w:pPr>
      <w:r>
        <w:rPr>
          <w:rFonts w:ascii="Arial" w:cs="Arial" w:eastAsia="Arial" w:hAnsi="Arial"/>
          <w:sz w:val="24"/>
          <w:szCs w:val="24"/>
        </w:rPr>
        <w:t xml:space="preserve">В этой связи, абзац четвертый части 1 статьи 7 проекта Закона предлагаем изложить таким образом, чтобы в обязанности юридических лиц и индивидуальных предпринимателей входило соблюдение вышеуказанных правил и норм, утверждаемых компетентным органом исполнительной власти в области охраны окружающей среды.</w:t>
      </w:r>
    </w:p>
    <w:p>
      <w:pPr>
        <w:spacing w:after="60"/>
        <w:ind w:firstLine="567"/>
        <w:jc w:val="both"/>
      </w:pPr>
      <w:r>
        <w:rPr>
          <w:rFonts w:ascii="Arial" w:cs="Arial" w:eastAsia="Arial" w:hAnsi="Arial"/>
          <w:sz w:val="24"/>
          <w:szCs w:val="24"/>
        </w:rPr>
        <w:t xml:space="preserve">6. В абзаце третьем части 3 статьи 7 проекта Закона предлагается установить, что производители отходов производства обязаны обеспечить разработку и утверждение нормативов образования отходов производства, а также их соблюдение.</w:t>
      </w:r>
    </w:p>
    <w:p>
      <w:pPr>
        <w:spacing w:after="60"/>
        <w:ind w:firstLine="567"/>
        <w:jc w:val="both"/>
      </w:pPr>
      <w:r>
        <w:rPr>
          <w:rFonts w:ascii="Arial" w:cs="Arial" w:eastAsia="Arial" w:hAnsi="Arial"/>
          <w:sz w:val="24"/>
          <w:szCs w:val="24"/>
        </w:rPr>
        <w:t xml:space="preserve">При этом предлагаем конкретизировать на основании какого нормативного правового акта производители отходов производства будут разрабатывать и утверждать нормативы образования отходов производства.</w:t>
      </w:r>
    </w:p>
    <w:p>
      <w:pPr>
        <w:spacing w:after="60"/>
        <w:ind w:firstLine="567"/>
        <w:jc w:val="both"/>
      </w:pPr>
      <w:r>
        <w:rPr>
          <w:rFonts w:ascii="Arial" w:cs="Arial" w:eastAsia="Arial" w:hAnsi="Arial"/>
          <w:sz w:val="24"/>
          <w:szCs w:val="24"/>
        </w:rPr>
        <w:t xml:space="preserve">7. В части 3 статьи 12 проекта Закона предлагается установить, что смешивание отходов разных видов при захоронении и (или) обезвреживании отходов допускается при условии соблюдения требования законодательства.</w:t>
      </w:r>
    </w:p>
    <w:p>
      <w:pPr>
        <w:spacing w:after="60"/>
        <w:ind w:firstLine="567"/>
        <w:jc w:val="both"/>
      </w:pPr>
      <w:r>
        <w:rPr>
          <w:rFonts w:ascii="Arial" w:cs="Arial" w:eastAsia="Arial" w:hAnsi="Arial"/>
          <w:sz w:val="24"/>
          <w:szCs w:val="24"/>
        </w:rPr>
        <w:t xml:space="preserve">Отмечаем, что понятие "законодательство" является обобщенным понятием и носит расплывчатый характер, предоставляющим возможность широкой трактовки.</w:t>
      </w:r>
    </w:p>
    <w:p>
      <w:pPr>
        <w:spacing w:after="60"/>
        <w:ind w:firstLine="567"/>
        <w:jc w:val="both"/>
      </w:pPr>
      <w:r>
        <w:rPr>
          <w:rFonts w:ascii="Arial" w:cs="Arial" w:eastAsia="Arial" w:hAnsi="Arial"/>
          <w:sz w:val="24"/>
          <w:szCs w:val="24"/>
        </w:rPr>
        <w:t xml:space="preserve">Также согласно пункту 78 </w:t>
      </w:r>
      <w:hyperlink w:history="1" r:id="rIdgneqvlxp3obdrcoqse-l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o55npr_h_onkavrfk7h4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этой связи необходимо проанализировать нормативные правовые акты, на которые идет ссылка в части 3 статьи 12 проекта Закона, и указать на их отрасль или сферу регулирования.</w:t>
      </w:r>
    </w:p>
    <w:p>
      <w:pPr>
        <w:spacing w:after="60"/>
        <w:ind w:firstLine="567"/>
        <w:jc w:val="both"/>
      </w:pPr>
      <w:r>
        <w:rPr>
          <w:rFonts w:ascii="Arial" w:cs="Arial" w:eastAsia="Arial" w:hAnsi="Arial"/>
          <w:sz w:val="24"/>
          <w:szCs w:val="24"/>
        </w:rPr>
        <w:t xml:space="preserve">Аналогично по статьям 7, 13, 14, 23, 24, 33 проекта Закона.</w:t>
      </w:r>
    </w:p>
    <w:p>
      <w:pPr>
        <w:spacing w:after="60"/>
        <w:ind w:firstLine="567"/>
        <w:jc w:val="both"/>
      </w:pPr>
      <w:r>
        <w:rPr>
          <w:rFonts w:ascii="Arial" w:cs="Arial" w:eastAsia="Arial" w:hAnsi="Arial"/>
          <w:sz w:val="24"/>
          <w:szCs w:val="24"/>
        </w:rPr>
        <w:t xml:space="preserve">8. Абзацем третьим части 1 статьи 12 проекта Закона предусматривается, что виды деятельности по переработке и утилизации отходов I-IV классов опасности подлежат лицензированию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В то же время в соответствии с частью 4 статьи 18 проекта Закона юридические и физические лица, осуществляющие обращение с опасными отходами, обязаны получить лицензию по сбору, транспортированию, переработке, утилизации, обезвреживанию, размещению отходов I-IV классов опасности,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Также в части 2 статьи 20 проекта Закона предусматривается, что деятельность по транспортировке опасных отходов подлежит лицензированию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Аналогично, статьей 22 проекта Закона предлагается установить, что деятельность юридических и физических лиц по транспортированию (в том числе трансграничному), переработке, утилизации, обезвреживанию, размещению отходов I-IV классов опасности, подлежит лицензированию в соответствии с </w:t>
      </w:r>
      <w:hyperlink w:history="1" r:id="rId9271ypi--zz9bupnwbu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В этой связи считаем недопустимым включение в проект Закона дублирующих норм.</w:t>
      </w:r>
    </w:p>
    <w:p>
      <w:pPr>
        <w:spacing w:after="60"/>
        <w:ind w:firstLine="567"/>
        <w:jc w:val="both"/>
      </w:pPr>
      <w:r>
        <w:rPr>
          <w:rFonts w:ascii="Arial" w:cs="Arial" w:eastAsia="Arial" w:hAnsi="Arial"/>
          <w:sz w:val="24"/>
          <w:szCs w:val="24"/>
        </w:rPr>
        <w:t xml:space="preserve">Также необходимо проанализировать положения статей </w:t>
      </w:r>
      <w:hyperlink w:history="1" r:id="rIdovtngnrsxkfonkiib-2lg">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kugs2pmnkwgseme3w7wce">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"О лицензионно-разрешительной деятельности" на предмет полноты регулирования вопросов лицензирования деятельности по транспортированию (в том числе трансграничному), переработке, утилизации, обезвреживанию, размещению отходов I-IV классов опасности.</w:t>
      </w:r>
    </w:p>
    <w:p>
      <w:pPr>
        <w:spacing w:after="60"/>
        <w:ind w:firstLine="567"/>
        <w:jc w:val="both"/>
      </w:pPr>
      <w:r>
        <w:rPr>
          <w:rFonts w:ascii="Arial" w:cs="Arial" w:eastAsia="Arial" w:hAnsi="Arial"/>
          <w:sz w:val="24"/>
          <w:szCs w:val="24"/>
        </w:rPr>
        <w:t xml:space="preserve">В случае необходимости следует внести изменения в вышеуказанный Закон.</w:t>
      </w:r>
    </w:p>
    <w:p>
      <w:pPr>
        <w:spacing w:after="60"/>
        <w:ind w:firstLine="567"/>
        <w:jc w:val="both"/>
      </w:pPr>
      <w:r>
        <w:rPr>
          <w:rFonts w:ascii="Arial" w:cs="Arial" w:eastAsia="Arial" w:hAnsi="Arial"/>
          <w:sz w:val="24"/>
          <w:szCs w:val="24"/>
        </w:rPr>
        <w:t xml:space="preserve">9. В части 2 статьи 19 проекта Закона предлагается установить, что перевозка отходов производства допускается при наличии сопроводительного документа о перевозке отходов производства.</w:t>
      </w:r>
    </w:p>
    <w:p>
      <w:pPr>
        <w:spacing w:after="60"/>
        <w:ind w:firstLine="567"/>
        <w:jc w:val="both"/>
      </w:pPr>
      <w:r>
        <w:rPr>
          <w:rFonts w:ascii="Arial" w:cs="Arial" w:eastAsia="Arial" w:hAnsi="Arial"/>
          <w:sz w:val="24"/>
          <w:szCs w:val="24"/>
        </w:rPr>
        <w:t xml:space="preserve">Также в части 2 вышеуказанной статьи проекта Закона перечислен перечень сведений, которые должны содержаться в сопроводительном документе о перевозке отходов производства, такие как: о производителе перевозимых отходов производства, собственнике перевозимых отходов производства в случае, если он не является их производителем, получателем перевозимых отходов производства, юридическом лице или индивидуальном предпринимателе, осуществляющих перевозку отходов производства, транспортном средстве, на котором осуществляется перевозка отходов производства, упаковке перевозимых отходов производства.</w:t>
      </w:r>
    </w:p>
    <w:p>
      <w:pPr>
        <w:spacing w:after="60"/>
        <w:ind w:firstLine="567"/>
        <w:jc w:val="both"/>
      </w:pPr>
      <w:r>
        <w:rPr>
          <w:rFonts w:ascii="Arial" w:cs="Arial" w:eastAsia="Arial" w:hAnsi="Arial"/>
          <w:sz w:val="24"/>
          <w:szCs w:val="24"/>
        </w:rPr>
        <w:t xml:space="preserve">В соответствии со </w:t>
      </w:r>
      <w:hyperlink w:history="1" r:id="rId6nrnrm4ftopewn8qqywzw">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 - это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Вместе с тем в части 3 вышеуказанной статьи проекта Закона установлено, что уполномоченный орган исполнительной власти в сфере охраны окружающей среды утверждает форму сопроводительного документа перевозки отходов производства, а также устанавливает порядок его оформления. Ввиду чего часть 2 статьи 19 проекта Закона предлагаем изложить таким образом, чтобы требования и необходимые сведения для сопроводительного документа о перевозке отходов производства утверждались уполномоченным органом исполнительной власти в сфере охраны окружающей среды.</w:t>
      </w:r>
    </w:p>
    <w:p>
      <w:pPr>
        <w:spacing w:after="60"/>
        <w:ind w:firstLine="567"/>
        <w:jc w:val="both"/>
      </w:pPr>
      <w:r>
        <w:rPr>
          <w:rFonts w:ascii="Arial" w:cs="Arial" w:eastAsia="Arial" w:hAnsi="Arial"/>
          <w:sz w:val="24"/>
          <w:szCs w:val="24"/>
        </w:rPr>
        <w:t xml:space="preserve">Соответственно вышеперечисленные необходимые требования для сопроводительного документа необходимо исключить из проекта Закона.</w:t>
      </w:r>
    </w:p>
    <w:p>
      <w:pPr>
        <w:spacing w:after="60"/>
        <w:ind w:firstLine="567"/>
        <w:jc w:val="both"/>
      </w:pPr>
      <w:r>
        <w:rPr>
          <w:rFonts w:ascii="Arial" w:cs="Arial" w:eastAsia="Arial" w:hAnsi="Arial"/>
          <w:sz w:val="24"/>
          <w:szCs w:val="24"/>
        </w:rPr>
        <w:t xml:space="preserve">10. В абзаце шестом части 1 статьи 21 проекта Закона предлагается установить, что к правонарушениям законодательства об отходах производства и потребления относится отсутствие положительного заключения государственной экологической экспертизы на документацию по обращению с отходами.</w:t>
      </w:r>
    </w:p>
    <w:p>
      <w:pPr>
        <w:spacing w:after="60"/>
        <w:ind w:firstLine="567"/>
        <w:jc w:val="both"/>
      </w:pPr>
      <w:r>
        <w:rPr>
          <w:rFonts w:ascii="Arial" w:cs="Arial" w:eastAsia="Arial" w:hAnsi="Arial"/>
          <w:sz w:val="24"/>
          <w:szCs w:val="24"/>
        </w:rPr>
        <w:t xml:space="preserve">При этом </w:t>
      </w:r>
      <w:hyperlink w:history="1" r:id="rIdzcgz21qxglmdbdeexfhp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не содержит какую-либо ответственность за отсутствие экологической экспертизы. Вместе с тем в соответствии со </w:t>
      </w:r>
      <w:hyperlink w:history="1" r:id="rIdnfdm-kugszhujsd96mtyt">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вышеуказанного Кодекса: "невыполнение требований государственной экологической экспертизы - 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В этой связи абзац шестой части 1 статьи 21 проекта Закона предлагаем привести в соответствие со </w:t>
      </w:r>
      <w:hyperlink w:history="1" r:id="rIdj0jtyf7rfsxdjczzxa41_">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11. В части 3 статьи 23 проекта Закона предлагается установить, что органы местного самоуправления осуществляют мониторинг за обращением с отходами в пределах полномочий, установленных статьей 4 данного проекта Закона.</w:t>
      </w:r>
    </w:p>
    <w:p>
      <w:pPr>
        <w:spacing w:after="60"/>
        <w:ind w:firstLine="567"/>
        <w:jc w:val="both"/>
      </w:pPr>
      <w:r>
        <w:rPr>
          <w:rFonts w:ascii="Arial" w:cs="Arial" w:eastAsia="Arial" w:hAnsi="Arial"/>
          <w:sz w:val="24"/>
          <w:szCs w:val="24"/>
        </w:rPr>
        <w:t xml:space="preserve">При этом статья 4 проекта Закона не содержит соответствующих положений относительно мониторинга за обращением с отходами.</w:t>
      </w:r>
    </w:p>
    <w:p>
      <w:pPr>
        <w:spacing w:after="60"/>
        <w:ind w:firstLine="567"/>
        <w:jc w:val="both"/>
      </w:pPr>
      <w:r>
        <w:rPr>
          <w:rFonts w:ascii="Arial" w:cs="Arial" w:eastAsia="Arial" w:hAnsi="Arial"/>
          <w:sz w:val="24"/>
          <w:szCs w:val="24"/>
        </w:rPr>
        <w:t xml:space="preserve">В этой связи часть 3 статьи 23 проекта Закона предлагаем пересмотреть.</w:t>
      </w:r>
    </w:p>
    <w:p>
      <w:pPr>
        <w:spacing w:after="60"/>
        <w:ind w:firstLine="567"/>
        <w:jc w:val="both"/>
      </w:pPr>
      <w:r>
        <w:rPr>
          <w:rFonts w:ascii="Arial" w:cs="Arial" w:eastAsia="Arial" w:hAnsi="Arial"/>
          <w:sz w:val="24"/>
          <w:szCs w:val="24"/>
        </w:rPr>
        <w:t xml:space="preserve">12. Статьей 31 проекта Закона предлагается установить утилизационный платеж за переработку и утилизацию отходов, образующихся после утраты потребительских свойств этих товаров. Вместе с тем в соответствии с Кодексом о неналоговых доходах Кыргызской Республики на переработку ртутьсодержащих отходов, полимерных и пластиковых пакетов установлен утилизационный сбор.</w:t>
      </w:r>
    </w:p>
    <w:p>
      <w:pPr>
        <w:spacing w:after="60"/>
        <w:ind w:firstLine="567"/>
        <w:jc w:val="both"/>
      </w:pPr>
      <w:r>
        <w:rPr>
          <w:rFonts w:ascii="Arial" w:cs="Arial" w:eastAsia="Arial" w:hAnsi="Arial"/>
          <w:sz w:val="24"/>
          <w:szCs w:val="24"/>
        </w:rPr>
        <w:t xml:space="preserve">Учитывая что предлагаемый проект Закона регулирует отношения, возникающие в процессе образования, сбора, хранения, переработки, утилизации, обезвреживания, транспортирования и захоронения отходов производства и потребления, в понятийном аппарате проекта Закона предлагаем предусмотреть объемлющее определение утилизационного сбора.</w:t>
      </w:r>
    </w:p>
    <w:p>
      <w:pPr>
        <w:spacing w:after="60"/>
        <w:ind w:firstLine="567"/>
        <w:jc w:val="both"/>
      </w:pPr>
      <w:r>
        <w:rPr>
          <w:rFonts w:ascii="Arial" w:cs="Arial" w:eastAsia="Arial" w:hAnsi="Arial"/>
          <w:sz w:val="24"/>
          <w:szCs w:val="24"/>
        </w:rPr>
        <w:t xml:space="preserve">Наряду с этим, в целях формирования эффективной государственной модели экономического регулирования, направленной на минимизацию объемов поступления отходов на свалки и обеспечение возвращения вторичных ресурсов в производство, посредством внедрения системы расширенной ответственности производителей, в проекте Закона предлагаем предусмотреть механизм администрирования утилизационного сбора.</w:t>
      </w:r>
    </w:p>
    <w:p>
      <w:pPr>
        <w:spacing w:after="60"/>
        <w:ind w:firstLine="567"/>
        <w:jc w:val="both"/>
      </w:pPr>
      <w:r>
        <w:rPr>
          <w:rFonts w:ascii="Arial" w:cs="Arial" w:eastAsia="Arial" w:hAnsi="Arial"/>
          <w:sz w:val="24"/>
          <w:szCs w:val="24"/>
        </w:rPr>
        <w:t xml:space="preserve">13. Учитывая что Закон "Об отходах производства и потребления" принимается в новой редакции, из статей 8, 18, 20, 26, 28 проекта Закона необходимо исключить отсылки на действующие подзаконные акты.</w:t>
      </w:r>
    </w:p>
    <w:p>
      <w:pPr>
        <w:spacing w:after="60"/>
        <w:ind w:firstLine="567"/>
        <w:jc w:val="both"/>
      </w:pPr>
      <w:r>
        <w:rPr>
          <w:rFonts w:ascii="Arial" w:cs="Arial" w:eastAsia="Arial" w:hAnsi="Arial"/>
          <w:sz w:val="24"/>
          <w:szCs w:val="24"/>
        </w:rPr>
        <w:t xml:space="preserve">14. В части 1 статьи 35 проекта Закона предусмотрено, что настоящий Закон вступает в силу в течение трех месяцев после его официального опубликования.</w:t>
      </w:r>
    </w:p>
    <w:p>
      <w:pPr>
        <w:spacing w:after="60"/>
        <w:ind w:firstLine="567"/>
        <w:jc w:val="both"/>
      </w:pPr>
      <w:r>
        <w:rPr>
          <w:rFonts w:ascii="Arial" w:cs="Arial" w:eastAsia="Arial" w:hAnsi="Arial"/>
          <w:sz w:val="24"/>
          <w:szCs w:val="24"/>
        </w:rPr>
        <w:t xml:space="preserve">Согласно </w:t>
      </w:r>
      <w:hyperlink w:history="1" r:id="rId_pzlo3spad5jutntlfg-n">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Закона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60"/>
        <w:ind w:firstLine="567"/>
        <w:jc w:val="both"/>
      </w:pPr>
      <w:r>
        <w:rPr>
          <w:rFonts w:ascii="Arial" w:cs="Arial" w:eastAsia="Arial" w:hAnsi="Arial"/>
          <w:sz w:val="24"/>
          <w:szCs w:val="24"/>
        </w:rPr>
        <w:t xml:space="preserve">В этой связи часть 1 статьи 35 предлагаем изложить в следующей редакции:</w:t>
      </w:r>
    </w:p>
    <w:p>
      <w:pPr>
        <w:spacing w:after="60"/>
        <w:ind w:firstLine="567"/>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sz w:val="24"/>
          <w:szCs w:val="24"/>
        </w:rPr>
        <w:t xml:space="preserve">15. В соответствии с частью 3 статьи 35 проекта Закона со дня вступления в силу данного Закона Закон Кыргызской Республики "Об отходах производства и потребления" признается утратившим силу.</w:t>
      </w:r>
    </w:p>
    <w:p>
      <w:pPr>
        <w:spacing w:after="60"/>
        <w:ind w:firstLine="567"/>
        <w:jc w:val="both"/>
      </w:pPr>
      <w:r>
        <w:rPr>
          <w:rFonts w:ascii="Arial" w:cs="Arial" w:eastAsia="Arial" w:hAnsi="Arial"/>
          <w:sz w:val="24"/>
          <w:szCs w:val="24"/>
        </w:rPr>
        <w:t xml:space="preserve">Следует отметить, что согласно части 4 </w:t>
      </w:r>
      <w:hyperlink w:history="1" r:id="rIdltxbsfdkg6ct8rnfni85s">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"О нормативных правовых актах Кыргызской Республики"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60"/>
        <w:ind w:firstLine="567"/>
        <w:jc w:val="both"/>
      </w:pPr>
      <w:r>
        <w:rPr>
          <w:rFonts w:ascii="Arial" w:cs="Arial" w:eastAsia="Arial" w:hAnsi="Arial"/>
          <w:sz w:val="24"/>
          <w:szCs w:val="24"/>
        </w:rPr>
        <w:t xml:space="preserve">В соответствии с частью 7 </w:t>
      </w:r>
      <w:hyperlink w:history="1" r:id="rIdacrhxqtomp2udgufv9y02">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вышеуказанного Закона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60"/>
        <w:ind w:firstLine="567"/>
        <w:jc w:val="both"/>
      </w:pPr>
      <w:r>
        <w:rPr>
          <w:rFonts w:ascii="Arial" w:cs="Arial" w:eastAsia="Arial" w:hAnsi="Arial"/>
          <w:sz w:val="24"/>
          <w:szCs w:val="24"/>
        </w:rPr>
        <w:t xml:space="preserve">В этой связи в проекте Закона необходимо предусмотреть признание утратившими силу всех законов о внесении изменений в вышеуказанный Закон.</w:t>
      </w:r>
    </w:p>
    <w:p>
      <w:pPr>
        <w:spacing w:after="60"/>
        <w:ind w:firstLine="567"/>
        <w:jc w:val="both"/>
      </w:pPr>
      <w:r>
        <w:rPr>
          <w:rFonts w:ascii="Arial" w:cs="Arial" w:eastAsia="Arial" w:hAnsi="Arial"/>
          <w:sz w:val="24"/>
          <w:szCs w:val="24"/>
        </w:rPr>
        <w:t xml:space="preserve">16. Проект Закона необходимо привести в соответствие с пунктами 42 и 43 </w:t>
      </w:r>
      <w:hyperlink w:history="1" r:id="rIdbxgc9dayzpyu2gvum83i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bhp2-oj3xqtg3i-zyt5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где предусмотрено, что часть статей подразделяется на пункты, обозначаемые арабскими цифрами с закрывающейся круглой скобкой.</w:t>
      </w:r>
    </w:p>
    <w:p>
      <w:pPr>
        <w:spacing w:after="60"/>
        <w:ind w:firstLine="567"/>
        <w:jc w:val="both"/>
      </w:pPr>
      <w:r>
        <w:rPr>
          <w:rFonts w:ascii="Arial" w:cs="Arial" w:eastAsia="Arial" w:hAnsi="Arial"/>
          <w:sz w:val="24"/>
          <w:szCs w:val="24"/>
        </w:rPr>
        <w:t xml:space="preserve">Пункты подразделяются на подпункты, обозначаемые строчными буквами алфавита на государственном языке с закрывающейся круглой скобкой.</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проекта Закона Кыргызской Республики "Об отходах производства и потреблении" с учетом вышеизложенных предложений и замечаний.</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juhay5w6_iz9p4vsz0_">
      <w:r>
        <w:rPr>
          <w:rFonts w:ascii="Arial" w:cs="Arial" w:eastAsia="Arial" w:hAnsi="Arial"/>
          <w:color w:val="132D3F"/>
          <w:sz w:val="16"/>
          <w:szCs w:val="16"/>
          <w:u w:val="single"/>
        </w:rPr>
        <w:t xml:space="preserve">dalil.kg/document/219627</w:t>
      </w:r>
    </w:hyperlink>
  </w:p>
  <w:p>
    <w:pPr>
      <w:spacing w:after="0" w:before="40"/>
      <w:jc w:val="center"/>
    </w:pPr>
    <w:hyperlink w:history="1" r:id="rIdmpfnkpg8krwqv3s8fdl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se2gj-ubg41ord60phs" Type="http://schemas.openxmlformats.org/officeDocument/2006/relationships/hyperlink" Target="https://dalil.kg/document/112301#st_18" TargetMode="External"/><Relationship Id="rIddrxpns7qh6cchcakvsnqw" Type="http://schemas.openxmlformats.org/officeDocument/2006/relationships/hyperlink" Target="https://dalil.kg/document/112301#st_27" TargetMode="External"/><Relationship Id="rId08oajytmt9vwokxkuxklm" Type="http://schemas.openxmlformats.org/officeDocument/2006/relationships/hyperlink" Target="https://dalil.kg/document/219627#pr" TargetMode="External"/><Relationship Id="rIdwlrvxx7ao166vhpgbiive" Type="http://schemas.openxmlformats.org/officeDocument/2006/relationships/hyperlink" Target="https://dalil.kg/document/219627" TargetMode="External"/><Relationship Id="rIdxw4iexwbkqhqd9af7j9ty" Type="http://schemas.openxmlformats.org/officeDocument/2006/relationships/hyperlink" Target="https://dalil.kg/document/112301#st_27" TargetMode="External"/><Relationship Id="rIdyokbbws7bwr_fwzkhwgyj" Type="http://schemas.openxmlformats.org/officeDocument/2006/relationships/hyperlink" Target="https://dalil.kg/document/202591#st_11" TargetMode="External"/><Relationship Id="rIdhtalojr7rszzvc6uvgs6y" Type="http://schemas.openxmlformats.org/officeDocument/2006/relationships/hyperlink" Target="https://dalil.kg/document/4#st_8" TargetMode="External"/><Relationship Id="rIdvqqitll08ta35klglpkia" Type="http://schemas.openxmlformats.org/officeDocument/2006/relationships/hyperlink" Target="https://dalil.kg/document/112302#st_2" TargetMode="External"/><Relationship Id="rIdbsigo4vhternt_dpvptbs" Type="http://schemas.openxmlformats.org/officeDocument/2006/relationships/hyperlink" Target="https://dalil.kg/document/112302#st_17" TargetMode="External"/><Relationship Id="rIddldlgqaljjvaj4owit0j6" Type="http://schemas.openxmlformats.org/officeDocument/2006/relationships/hyperlink" Target="https://dalil.kg/document/112302#st_27" TargetMode="External"/><Relationship Id="rIdgneqvlxp3obdrcoqse-le" Type="http://schemas.openxmlformats.org/officeDocument/2006/relationships/hyperlink" Target="https://dalil.kg/document/76491" TargetMode="External"/><Relationship Id="rIdo55npr_h_onkavrfk7h49" Type="http://schemas.openxmlformats.org/officeDocument/2006/relationships/hyperlink" Target="https://dalil.kg/document/76490" TargetMode="External"/><Relationship Id="rId9271ypi--zz9bupnwbuto" Type="http://schemas.openxmlformats.org/officeDocument/2006/relationships/hyperlink" Target="https://dalil.kg/document/205058" TargetMode="External"/><Relationship Id="rIdovtngnrsxkfonkiib-2lg" Type="http://schemas.openxmlformats.org/officeDocument/2006/relationships/hyperlink" Target="https://dalil.kg/document/158252#st_15" TargetMode="External"/><Relationship Id="rIdkugs2pmnkwgseme3w7wce" Type="http://schemas.openxmlformats.org/officeDocument/2006/relationships/hyperlink" Target="https://dalil.kg/document/158252#st_17" TargetMode="External"/><Relationship Id="rId6nrnrm4ftopewn8qqywzw" Type="http://schemas.openxmlformats.org/officeDocument/2006/relationships/hyperlink" Target="https://dalil.kg/document/202591#st_4" TargetMode="External"/><Relationship Id="rIdzcgz21qxglmdbdeexfhp8" Type="http://schemas.openxmlformats.org/officeDocument/2006/relationships/hyperlink" Target="https://dalil.kg/document/112306" TargetMode="External"/><Relationship Id="rIdnfdm-kugszhujsd96mtyt" Type="http://schemas.openxmlformats.org/officeDocument/2006/relationships/hyperlink" Target="https://dalil.kg/document/112306#st_209" TargetMode="External"/><Relationship Id="rIdj0jtyf7rfsxdjczzxa41_" Type="http://schemas.openxmlformats.org/officeDocument/2006/relationships/hyperlink" Target="https://dalil.kg/document/112306#st_209" TargetMode="External"/><Relationship Id="rId_pzlo3spad5jutntlfg-n" Type="http://schemas.openxmlformats.org/officeDocument/2006/relationships/hyperlink" Target="https://dalil.kg/document/202591#st_30" TargetMode="External"/><Relationship Id="rIdltxbsfdkg6ct8rnfni85s" Type="http://schemas.openxmlformats.org/officeDocument/2006/relationships/hyperlink" Target="https://dalil.kg/document/202591#st_10" TargetMode="External"/><Relationship Id="rIdacrhxqtomp2udgufv9y02" Type="http://schemas.openxmlformats.org/officeDocument/2006/relationships/hyperlink" Target="https://dalil.kg/document/202591#st_17" TargetMode="External"/><Relationship Id="rIdbxgc9dayzpyu2gvum83i2" Type="http://schemas.openxmlformats.org/officeDocument/2006/relationships/hyperlink" Target="https://dalil.kg/document/76491" TargetMode="External"/><Relationship Id="rIdbhp2-oj3xqtg3i-zyt5xq"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juhay5w6_iz9p4vsz0_" Type="http://schemas.openxmlformats.org/officeDocument/2006/relationships/hyperlink" Target="https://dalil.kg/document/219627" TargetMode="External"/><Relationship Id="rIdmpfnkpg8krwqv3s8fdl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2026-09-29T15:19:31.903Z</dcterms:created>
  <dcterms:modified xsi:type="dcterms:W3CDTF">2026-09-29T15:19:31.903Z</dcterms:modified>
</cp:coreProperties>
</file>

<file path=docProps/custom.xml><?xml version="1.0" encoding="utf-8"?>
<Properties xmlns="http://schemas.openxmlformats.org/officeDocument/2006/custom-properties" xmlns:vt="http://schemas.openxmlformats.org/officeDocument/2006/docPropsVTypes"/>
</file>