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июля 2006 года № 155          РАСПОРЯЖЕНИЕ РУКОВОДИТЕЛЯ АППАРАТА ПРЕМЬЕР-МИНИСТРА -                    МИНИСТРА КЫРГЫЗСКОЙ РЕСПУБЛИКИ      1. Утвердить прилагаемое </w:t>
      </w:r>
      <w:hyperlink w:history="1" r:id="rIdyfqiaitvhuaijtjwivf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rzwosijaeovddfajzoe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 от 1 апреля 2005 года № 150 "О пересмотре ставокакцизного налога на некоторые виды подакцизных товаров".     2. Направить  вышеуказанное разъяснение соответствующим министерс-твам и ведомствам Кыргызской Республики.      Руководитель Аппарата Премьер-министра -     министр Кыргызской Республики                     Т.Коеналиев                                                  Утверждено                                    распоряжением Руководителя Аппарата                                        Премьер-министра - министра                                           Кыргызской Республики                                        от 14 июля 2006 года № 155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РАЗЪЯСНЕНИЕ</w:t>
      </w:r>
      <w:r>
        <w:rPr>
          <w:rFonts w:ascii="Arial" w:cs="Arial" w:eastAsia="Arial" w:hAnsi="Arial"/>
          <w:sz w:val="24"/>
          <w:szCs w:val="24"/>
        </w:rPr>
        <w:t xml:space="preserve">          к </w:t>
      </w:r>
      <w:hyperlink w:history="1" r:id="rId0c7skwxhpvftuigqzrr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     от 1 апреля 2005 года № 150 "О пересмотре ставок акцизного             налога на некоторые виды подакцизных товаров"      Рассмотрев обращение Государственной таможенной инспекции при Пра-вительстве Кыргызской Республики о даче разъяснения в части  применения</w:t>
      </w:r>
      <w:hyperlink w:history="1" r:id="rIdaghyuh2rl3zec1jgfqw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апреля 2005 года№ 150 "О пересмотре ставок акцизного налога на некоторые виды подакциз-ных  товаров",  а  также  на основании статей 50 и 53 </w:t>
      </w:r>
      <w:hyperlink w:history="1" r:id="rIdtdarg4ni-gbbtdzxbu6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нормативных правовых актах Кыргызской Республики" АппаратПремьер-министра Кыргызской Республики разъясняет следующее.     В соответствии со статьей 11 </w:t>
      </w:r>
      <w:hyperlink w:history="1" r:id="rId_pyrb5wfrybhgryp7tn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висключительных  случаях,  для защиты экономических интересов КыргызскойРеспублики Правительство Кыргызской Республики вправе принимать времен-ные меры в сфере налогообложения посредством изменения ставок отдельныхналогов и иных обязательных платежей в бюджет с немедленным уведомлени-ем об этом Жогорку Кенеша Кыргызской Республики.     Таким образом,  на основании вышеназванной статьи Конституции Кыр-гызской Республики, в связи с необходимостью принятия адекватных опера-тивных экономических мер,  в целях стабилизации непредвиденных ситуацийв  экономике Правительством Кыргызской Республики принято </w:t>
      </w:r>
      <w:hyperlink w:history="1" r:id="rId2k-jtnt8vfehcteseuc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 апреля 2005 года № 150 "О  пе-ресмотре  ставок  акцизного  налога на некоторые виды подакцизных това-ров".     Пунктом 3 вышеназванного постановления установлено,  что постанов-ление вступает в силу с момента вступления  в  силу  </w:t>
      </w:r>
      <w:hyperlink w:history="1" r:id="rIdksomaujta_4bttpt-qr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"О  базовых ставках акцизного налога на подакцизные товары,ввозимые и производимые юридическими и физическими лицами в  КыргызскойРеспублике, на 2005 год".     При этом,  статьей 3 Закона Кыргызской Республики </w:t>
      </w:r>
      <w:hyperlink w:history="1" r:id="rId9d-gsqbpeij938wbeo0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базовых став-</w:t>
        </w:r>
      </w:hyperlink>
      <w:hyperlink w:history="1" r:id="rIdz2ppiegzn_qwgfziinq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ках  акцизного  налога  на подакцизные товары,  ввозимые и производимые</w:t>
        </w:r>
      </w:hyperlink>
      <w:hyperlink w:history="1" r:id="rIdvuv2strppd5ve1g1dtd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юридическими и физическими лицами в Кыргызской Республике, на 2005 год"</w:t>
        </w:r>
      </w:hyperlink>
      <w:r>
        <w:rPr>
          <w:rFonts w:ascii="Arial" w:cs="Arial" w:eastAsia="Arial" w:hAnsi="Arial"/>
          <w:sz w:val="24"/>
          <w:szCs w:val="24"/>
        </w:rPr>
        <w:t xml:space="preserve">установлено,  что  до принятия в установленном порядке ставок акцизногоналога на 2006 год продолжают действовать ставки,  утвержденные  даннымЗаконом.     </w:t>
      </w:r>
      <w:hyperlink w:history="1" r:id="rIdfpl8z4hj69wdxvn5d-7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ставках акцизного налога  на  по-дакцизные  товары,  ввозимые  и производимые юридическими и физическимилицами в Кыргызской Республике, на 2006 год" утверждены ставки акцизно-го налога на подакцизные товары, ввозимые и производимые юридическими ифизическими лицами в Кыргызской Республике, на 2006 год.     Статьей 2  данного Закона установлено,  что порядок и сроки уплатыакцизных налогов определяются в соответствии с налоговым  и  таможеннымзаконодательством Кыргызской Республики.  Ставки акцизного налога уста-навливаются настоящим Законом и не подлежат изменению в  течение  срокаего действия.     При этом следует отметить,  что утверждение данным Законом перечнямарок сигарет делает практически невозможным его изменение, в части ка-тегорий сигарет,  представленных на внутреннем рынке, и определения ка-тегорий  для  новых наименований табачных изделий,  что сдерживает ростлегального рынка.  Кроме того,  в редакции данного Закона были допущенынеточности в определении категорий сигарет,  и отсутствует ряд наимено-ваний сигарет.     Для решения этой ситуации Правительством Кыргызской Республики бы-ло принято </w:t>
      </w:r>
      <w:hyperlink w:history="1" r:id="rIddu5esnoonlaxe5zdsys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апреля 2006 года № 236 "О проекте  ЗаконаКыргызской  Республики  "О внесении изменений и дополнения в Закон Кыр-гызской Республики "О ставках акцизного налога на  подакцизные  товары,ввозимые  и производимые юридическими и физическими лицами в КыргызскойРеспублике,  на 2006 год",  в соответствии с которым порядок  отнесениясигарет к категориям в зависимости от рыночных цен конечному потребите-лю определяется Правительством Кыргызской Республики,  пересчет  ставокакцизного налога ликероводочных изделий производится с учетом объемногосодержания спирта,  из статьи 1 указанного Закона исключены марки сига-рет.     Таким образом, до вступления в силу указанных изменений и дополне-ния в Закон,  необходимо руководствоваться </w:t>
      </w:r>
      <w:hyperlink w:history="1" r:id="rId6cctowvkto8omqghy3y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 апреля 2005 года № 150 "О пересмотре  ставокакцизного налога на некоторые виды подакцизных товаров".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za0e26urf-blz4tr-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dalil.kg/document/22194</w:t>
      </w:r>
    </w:hyperlink>
  </w:p>
  <w:p>
    <w:pPr>
      <w:spacing w:after="0" w:before="40"/>
      <w:jc w:val="center"/>
    </w:pPr>
    <w:hyperlink w:history="1" r:id="rId_6qojrnlgv-l3qzxzq3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qiaitvhuaijtjwivfyh" Type="http://schemas.openxmlformats.org/officeDocument/2006/relationships/hyperlink" Target="https://dalil.kg/document/22194#1" TargetMode="External"/><Relationship Id="rIdrzwosijaeovddfajzoea0" Type="http://schemas.openxmlformats.org/officeDocument/2006/relationships/hyperlink" Target="https://dalil.kg/document/56261" TargetMode="External"/><Relationship Id="rId0c7skwxhpvftuigqzrrzh" Type="http://schemas.openxmlformats.org/officeDocument/2006/relationships/hyperlink" Target="https://dalil.kg/document/56261" TargetMode="External"/><Relationship Id="rIdaghyuh2rl3zec1jgfqwso" Type="http://schemas.openxmlformats.org/officeDocument/2006/relationships/hyperlink" Target="https://dalil.kg/document/56261" TargetMode="External"/><Relationship Id="rIdtdarg4ni-gbbtdzxbu6dk" Type="http://schemas.openxmlformats.org/officeDocument/2006/relationships/hyperlink" Target="https://dalil.kg/document/641" TargetMode="External"/><Relationship Id="rId_pyrb5wfrybhgryp7tn6c" Type="http://schemas.openxmlformats.org/officeDocument/2006/relationships/hyperlink" Target="https://dalil.kg/document/1" TargetMode="External"/><Relationship Id="rId2k-jtnt8vfehcteseuccd" Type="http://schemas.openxmlformats.org/officeDocument/2006/relationships/hyperlink" Target="https://dalil.kg/document/56261" TargetMode="External"/><Relationship Id="rIdksomaujta_4bttpt-qrlh" Type="http://schemas.openxmlformats.org/officeDocument/2006/relationships/hyperlink" Target="https://dalil.kg/document/1661" TargetMode="External"/><Relationship Id="rId9d-gsqbpeij938wbeo06x" Type="http://schemas.openxmlformats.org/officeDocument/2006/relationships/hyperlink" Target="https://dalil.kg/document/1661" TargetMode="External"/><Relationship Id="rIdz2ppiegzn_qwgfziinqlf" Type="http://schemas.openxmlformats.org/officeDocument/2006/relationships/hyperlink" Target="https://dalil.kg/document/1661" TargetMode="External"/><Relationship Id="rIdvuv2strppd5ve1g1dtdcq" Type="http://schemas.openxmlformats.org/officeDocument/2006/relationships/hyperlink" Target="https://dalil.kg/document/1661" TargetMode="External"/><Relationship Id="rIdfpl8z4hj69wdxvn5d-7or" Type="http://schemas.openxmlformats.org/officeDocument/2006/relationships/hyperlink" Target="https://dalil.kg/document/1788" TargetMode="External"/><Relationship Id="rIddu5esnoonlaxe5zdsysou" Type="http://schemas.openxmlformats.org/officeDocument/2006/relationships/hyperlink" Target="https://dalil.kg/document/57300" TargetMode="External"/><Relationship Id="rId6cctowvkto8omqghy3ysk" Type="http://schemas.openxmlformats.org/officeDocument/2006/relationships/hyperlink" Target="https://dalil.kg/document/5626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za0e26urf-blz4tr-4m" Type="http://schemas.openxmlformats.org/officeDocument/2006/relationships/hyperlink" Target="https://dalil.kg/document/22194" TargetMode="External"/><Relationship Id="rId_6qojrnlgv-l3qzxzq3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2026-10-02T22:02:09.445Z</dcterms:created>
  <dcterms:modified xsi:type="dcterms:W3CDTF">2026-10-02T22:02:09.445Z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