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2"/>
          <w:szCs w:val="22"/>
        </w:rPr>
        <w:t xml:space="preserve">УТРАТИЛ СИЛУ
   в соответствии с </w:t>
      </w:r>
      <w:hyperlink w:history="1" r:id="rIduemk_uq9iijcfoo2lc6x3">
        <w:r>
          <w:rPr>
            <w:rFonts w:ascii="Arial" w:cs="Arial" w:eastAsia="Arial" w:hAnsi="Arial"/>
            <w:i/>
            <w:iCs/>
            <w:color w:val="1D4ED8"/>
            <w:sz w:val="22"/>
            <w:szCs w:val="22"/>
            <w:u w:val="single"/>
          </w:rPr>
          <w:t xml:space="preserve">Указом</w:t>
        </w:r>
      </w:hyperlink>
      <w:r>
        <w:rPr>
          <w:rFonts w:ascii="Arial" w:cs="Arial" w:eastAsia="Arial" w:hAnsi="Arial"/>
          <w:i/>
          <w:iCs/>
          <w:sz w:val="22"/>
          <w:szCs w:val="22"/>
        </w:rPr>
        <w:t xml:space="preserve"> Президента КР от 31 мая 2022 года УП № 172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 от 30 мая 2000 года УП N 135                  УКАЗ ПРЕЗИДЕНТА КЫРГЫЗСКОЙ РЕСПУБЛИКИ              О внесении изменений и дополнений в Положение           о Государственной комиссии Кыргызской Республики           по обеспечению программы структурной перестройки                    финансовой и банковской системы     В  целях  повышения  эффективности  деятельности   Государственнойкомиссии   Кыргызской  Республики по обеспечению программы структурнойперестройки  финансовой и банковской системы и действенной  реализациимероприятий по ее осуществлению постановляю:    1.  Внести  в  Положение  о Государственной  комиссии   КыргызскойРеспублики    по    обеспечению  программы   структурной   перестройкифинансовой   и  банковской  системы,  утвержденное</w:t>
      </w:r>
    </w:p>
    <w:p>
      <w:r>
        <w:rPr>
          <w:rFonts w:ascii="Arial" w:cs="Arial" w:eastAsia="Arial" w:hAnsi="Arial"/>
          <w:sz w:val="24"/>
          <w:szCs w:val="24"/>
        </w:rPr>
        <w:t xml:space="preserve">Указом</w:t>
      </w:r>
    </w:p>
    <w:p>
      <w:r>
        <w:rPr>
          <w:rFonts w:ascii="Arial" w:cs="Arial" w:eastAsia="Arial" w:hAnsi="Arial"/>
          <w:sz w:val="24"/>
          <w:szCs w:val="24"/>
        </w:rPr>
        <w:t xml:space="preserve">ПрезидентаКыргызской   Республики   "О   Государственной   комиссии   КыргызскойРеспублики по обеспечению программы структурной перестройки финансовойи банковской системы" от 6 февраля 2000 года N 27, следующие измененияи дополнения:    - в пункте 6:    абзац четвертый изложить в следующей редакции:    "рассмотрение  вопросов  реформы и реструктуризации  банковской  ифинансовой   системы в соответствии с программой развития  финансовогосектора  и  привлечения ресурсов (FIRM),  осуществляемой  совместно  сАзиатским   банком   развития;  программой механизма  снижения  уровнябедности  и  содействия экономическому росту (PRGF) в  части  реформы,реструктуризации     и     решения   вопросов    проблемных    банков,осуществляемой совместно с Международным валютным фондом  и  Всемирнымбанком;   программой структурной перестройки финансовой  и  банковскойсистемы  (FinSAC),   осуществляемой совместно с Всемирным  банком,   атакже  другими  программами, направленными на структурную  перестройкуфинансовой и банковской системы Кыргызской Республики";    дополнить пункт абзацем шестым следующего содержания:    "-  принятие  решений  в  отношении банков  и  других   финансово-кредитных   учреждений,  подлежащих  реструктуризации,  и  определениестепени  участия в проведении их реструктуризации Национального  банкаКыргызской  Республики,  Министерства финансов Кыргызской  Республики,Агентства по реорганизации банков и реструктуризации долгов";    абзацы  шестой-восьмой  считать соответственно  абзацами  седьмым-девятым;    - часть первую пункта 9 исключить;    - дополнить пунктом 10 следующего содержания:    "10. Организация  работы  Госкомиссии обеспечивается Агентством пореорганизации банков и реструктуризации долгов".    2. Настоящий Указ вступает в силу с момента подписания.     Президент Кыргызской Республики                   А.Акаев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ef94qqtq0laypc4b0euu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dalil.kg/document/2297</w:t>
      </w:r>
    </w:hyperlink>
  </w:p>
  <w:p>
    <w:pPr>
      <w:spacing w:after="0" w:before="40"/>
      <w:jc w:val="center"/>
    </w:pPr>
    <w:hyperlink w:history="1" r:id="rId5firkijfyx9atqko_y72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uemk_uq9iijcfoo2lc6x3" Type="http://schemas.openxmlformats.org/officeDocument/2006/relationships/hyperlink" Target="https://dalil.kg/document/430967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ef94qqtq0laypc4b0euus" Type="http://schemas.openxmlformats.org/officeDocument/2006/relationships/hyperlink" Target="https://dalil.kg/document/2297" TargetMode="External"/><Relationship Id="rId5firkijfyx9atqko_y72b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2026-09-25T05:07:33.448Z</dcterms:created>
  <dcterms:modified xsi:type="dcterms:W3CDTF">2026-09-25T05:07:33.448Z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