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840"/>
        <w:jc w:val="center"/>
      </w:pPr>
      <w:r>
        <w:rPr>
          <w:rFonts w:ascii="Arial" w:cs="Arial" w:eastAsia="Arial" w:hAnsi="Arial"/>
          <w:i/>
          <w:iCs/>
          <w:sz w:val="24"/>
          <w:szCs w:val="24"/>
        </w:rPr>
        <w:t xml:space="preserve">УТРАТИЛО СИЛУ
 в соответствии с </w:t>
      </w:r>
      <w:hyperlink w:history="1" r:id="rIdeukgeo8ylmd2hdsb7kf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апреля 2025 года № 227</w:t>
      </w:r>
    </w:p>
    <w:p>
      <w:pPr>
        <w:spacing w:after="840" w:before="200"/>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12 декабря 2023 года № 665</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w:t>
      </w:r>
    </w:p>
    <w:p>
      <w:pPr>
        <w:spacing w:after="60"/>
        <w:ind w:firstLine="567"/>
        <w:jc w:val="both"/>
      </w:pPr>
      <w:r>
        <w:rPr>
          <w:rFonts w:ascii="Arial" w:cs="Arial" w:eastAsia="Arial" w:hAnsi="Arial"/>
          <w:sz w:val="24"/>
          <w:szCs w:val="24"/>
        </w:rPr>
        <w:t xml:space="preserve">В целях упрощения для потребителей расчета и применения тарифов на электрическую энергию электроснабжающими компаниями, а также систематизации законодательства Кыргызской Республики, в соответствии со </w:t>
      </w:r>
      <w:hyperlink w:history="1" r:id="rIda1itcag9hw-sovhikmj1t">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энергетике", статьями </w:t>
      </w:r>
      <w:hyperlink w:history="1" r:id="rIdrth9dkdtcfucjfnpgr57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uvzs8seazxhetdspu_k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deiwvzbtthkekp6ao18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mr2z2j9qlheniicopwdv">
        <w:r>
          <w:rPr>
            <w:rFonts w:ascii="Arial" w:cs="Arial" w:eastAsia="Arial" w:hAnsi="Arial"/>
            <w:color w:val="1D4ED8"/>
            <w:sz w:val="24"/>
            <w:szCs w:val="24"/>
            <w:u w:val="single"/>
          </w:rPr>
          <w:t xml:space="preserve">Среднесрочной тарифной политики</w:t>
        </w:r>
      </w:hyperlink>
      <w:r>
        <w:rPr>
          <w:rFonts w:ascii="Arial" w:cs="Arial" w:eastAsia="Arial" w:hAnsi="Arial"/>
          <w:sz w:val="24"/>
          <w:szCs w:val="24"/>
        </w:rPr>
        <w:t xml:space="preserve"> Кыргызской Республики на электрическую энергию на 2021-2025 годы" от 30 сентября 2021 года № 192 следующие изменения:</w:t>
      </w:r>
    </w:p>
    <w:p>
      <w:pPr>
        <w:spacing w:after="60"/>
        <w:ind w:firstLine="567"/>
        <w:jc w:val="both"/>
      </w:pPr>
      <w:r>
        <w:rPr>
          <w:rFonts w:ascii="Arial" w:cs="Arial" w:eastAsia="Arial" w:hAnsi="Arial"/>
          <w:sz w:val="24"/>
          <w:szCs w:val="24"/>
        </w:rPr>
        <w:t xml:space="preserve">в </w:t>
      </w:r>
      <w:hyperlink w:history="1" r:id="rIdv7fuqyqo5cwk52najfr_d">
        <w:r>
          <w:rPr>
            <w:rFonts w:ascii="Arial" w:cs="Arial" w:eastAsia="Arial" w:hAnsi="Arial"/>
            <w:color w:val="1D4ED8"/>
            <w:sz w:val="24"/>
            <w:szCs w:val="24"/>
            <w:u w:val="single"/>
          </w:rPr>
          <w:t xml:space="preserve">Среднесрочной тарифной политике</w:t>
        </w:r>
      </w:hyperlink>
      <w:r>
        <w:rPr>
          <w:rFonts w:ascii="Arial" w:cs="Arial" w:eastAsia="Arial" w:hAnsi="Arial"/>
          <w:sz w:val="24"/>
          <w:szCs w:val="24"/>
        </w:rPr>
        <w:t xml:space="preserve"> Кыргызской Республики на электрическую энергию на 2021-2025 годы, утвержденной вышеуказанным постановлением:</w:t>
      </w:r>
    </w:p>
    <w:p>
      <w:pPr>
        <w:spacing w:after="60"/>
        <w:ind w:firstLine="567"/>
        <w:jc w:val="both"/>
      </w:pPr>
      <w:r>
        <w:rPr>
          <w:rFonts w:ascii="Arial" w:cs="Arial" w:eastAsia="Arial" w:hAnsi="Arial"/>
          <w:sz w:val="24"/>
          <w:szCs w:val="24"/>
        </w:rPr>
        <w:t xml:space="preserve">- абзац четвертый </w:t>
      </w:r>
      <w:hyperlink w:history="1" r:id="rIdyzlmfrofuiun8hkyc2_lr">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 в </w:t>
      </w:r>
      <w:hyperlink w:history="1" r:id="rIdha1jjxrqrr0nrbj-xuyej">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"Для бытовых потребителей, желающих использовать электроэнергию без ограничения потребления и мощности, устанавливается отдельный тариф на электроэнергию в соответствии с заключенным с электроснабжающей организацией договором в размере 327,6 тыйына за 1 кВт.ч.";</w:t>
      </w:r>
    </w:p>
    <w:p>
      <w:pPr>
        <w:spacing w:after="60"/>
        <w:ind w:firstLine="567"/>
        <w:jc w:val="both"/>
      </w:pPr>
      <w:r>
        <w:rPr>
          <w:rFonts w:ascii="Arial" w:cs="Arial" w:eastAsia="Arial" w:hAnsi="Arial"/>
          <w:sz w:val="24"/>
          <w:szCs w:val="24"/>
        </w:rPr>
        <w:t xml:space="preserve">в абзаце десятом слова "общественных и частных" исключить;</w:t>
      </w:r>
    </w:p>
    <w:p>
      <w:pPr>
        <w:spacing w:after="60"/>
        <w:ind w:firstLine="567"/>
        <w:jc w:val="both"/>
      </w:pPr>
      <w:r>
        <w:rPr>
          <w:rFonts w:ascii="Arial" w:cs="Arial" w:eastAsia="Arial" w:hAnsi="Arial"/>
          <w:sz w:val="24"/>
          <w:szCs w:val="24"/>
        </w:rPr>
        <w:t xml:space="preserve">абзац одиннадцатый изложить в следующей редакции:</w:t>
      </w:r>
    </w:p>
    <w:p>
      <w:pPr>
        <w:spacing w:after="60"/>
        <w:ind w:firstLine="567"/>
        <w:jc w:val="both"/>
      </w:pPr>
      <w:r>
        <w:rPr>
          <w:rFonts w:ascii="Arial" w:cs="Arial" w:eastAsia="Arial" w:hAnsi="Arial"/>
          <w:sz w:val="24"/>
          <w:szCs w:val="24"/>
        </w:rPr>
        <w:t xml:space="preserve">"Для станций по зарядке электромобилей, использующих электроэнергию без ограничения потребления и мощности, тариф на электроэнергию устанавливается в соответствии с заключенным с электроснабжающей организацией договором в размере 442,0 тыйынов за 1 кВт.ч (без учета налогов).";</w:t>
      </w:r>
    </w:p>
    <w:p>
      <w:pPr>
        <w:spacing w:after="60"/>
        <w:ind w:firstLine="567"/>
        <w:jc w:val="both"/>
      </w:pPr>
      <w:r>
        <w:rPr>
          <w:rFonts w:ascii="Arial" w:cs="Arial" w:eastAsia="Arial" w:hAnsi="Arial"/>
          <w:sz w:val="24"/>
          <w:szCs w:val="24"/>
        </w:rPr>
        <w:t xml:space="preserve">абзацы двадцатый, тридцать первый признать утратившими силу;</w:t>
      </w:r>
    </w:p>
    <w:p>
      <w:pPr>
        <w:spacing w:after="60"/>
        <w:ind w:firstLine="567"/>
        <w:jc w:val="both"/>
      </w:pPr>
      <w:r>
        <w:rPr>
          <w:rFonts w:ascii="Arial" w:cs="Arial" w:eastAsia="Arial" w:hAnsi="Arial"/>
          <w:sz w:val="24"/>
          <w:szCs w:val="24"/>
        </w:rPr>
        <w:t xml:space="preserve">абзац двадцать первый изложить в следующей редакции:</w:t>
      </w:r>
    </w:p>
    <w:p>
      <w:pPr>
        <w:spacing w:after="60"/>
        <w:ind w:firstLine="567"/>
        <w:jc w:val="both"/>
      </w:pPr>
      <w:r>
        <w:rPr>
          <w:rFonts w:ascii="Arial" w:cs="Arial" w:eastAsia="Arial" w:hAnsi="Arial"/>
          <w:sz w:val="24"/>
          <w:szCs w:val="24"/>
        </w:rPr>
        <w:t xml:space="preserve">"Майнинг (криптовалюта), золоторудная промышленность, алкогольная промышленность";</w:t>
      </w:r>
    </w:p>
    <w:p>
      <w:pPr>
        <w:spacing w:after="60"/>
        <w:ind w:firstLine="567"/>
        <w:jc w:val="both"/>
      </w:pPr>
      <w:r>
        <w:rPr>
          <w:rFonts w:ascii="Arial" w:cs="Arial" w:eastAsia="Arial" w:hAnsi="Arial"/>
          <w:sz w:val="24"/>
          <w:szCs w:val="24"/>
        </w:rPr>
        <w:t xml:space="preserve">предложение первое абзаца двадцать третьего изложить в следующей редакции: "В этой связи, учитывая энергоемкость подобных предприятий и необходимость бесперебойного обеспечения электрической энергией, вышеуказанные потребители выделены в отдельные группы, для которых тариф на электрическую энергию будет 504,0 тыйына за 1 кВт.ч (без учета налогов).";</w:t>
      </w:r>
    </w:p>
    <w:p>
      <w:pPr>
        <w:spacing w:after="60"/>
        <w:ind w:firstLine="567"/>
        <w:jc w:val="both"/>
      </w:pPr>
      <w:r>
        <w:rPr>
          <w:rFonts w:ascii="Arial" w:cs="Arial" w:eastAsia="Arial" w:hAnsi="Arial"/>
          <w:sz w:val="24"/>
          <w:szCs w:val="24"/>
        </w:rPr>
        <w:t xml:space="preserve">абзацы двадцать четвертый - двадцать седьмой изложить в следующей редакции:</w:t>
      </w:r>
    </w:p>
    <w:p>
      <w:pPr>
        <w:spacing w:after="60"/>
        <w:ind w:firstLine="567"/>
        <w:jc w:val="both"/>
      </w:pPr>
      <w:r>
        <w:rPr>
          <w:rFonts w:ascii="Arial" w:cs="Arial" w:eastAsia="Arial" w:hAnsi="Arial"/>
          <w:sz w:val="24"/>
          <w:szCs w:val="24"/>
        </w:rPr>
        <w:t xml:space="preserve">"Литейное производство</w:t>
      </w:r>
    </w:p>
    <w:p>
      <w:pPr>
        <w:spacing w:after="60"/>
        <w:ind w:firstLine="567"/>
        <w:jc w:val="both"/>
      </w:pPr>
      <w:r>
        <w:rPr>
          <w:rFonts w:ascii="Arial" w:cs="Arial" w:eastAsia="Arial" w:hAnsi="Arial"/>
          <w:sz w:val="24"/>
          <w:szCs w:val="24"/>
        </w:rPr>
        <w:t xml:space="preserve">Литейные производства являются основными потребителями электрической энергии, которые производят продукцию социальной направленности.</w:t>
      </w:r>
    </w:p>
    <w:p>
      <w:pPr>
        <w:spacing w:after="60"/>
        <w:ind w:firstLine="567"/>
        <w:jc w:val="both"/>
      </w:pPr>
      <w:r>
        <w:rPr>
          <w:rFonts w:ascii="Arial" w:cs="Arial" w:eastAsia="Arial" w:hAnsi="Arial"/>
          <w:sz w:val="24"/>
          <w:szCs w:val="24"/>
        </w:rPr>
        <w:t xml:space="preserve">В этой связи, учитывая необходимость бесперебойного обеспечения электрической энергией в условиях ее дефицита, указанные потребители выделены в отдельную группу, для которой тариф на электрическую энергию будет 504,0 тыйына за 1 кВт.ч (без учета налогов), т.е. для данной категории потребителей тариф будет установлен на уровне компенсации затрат на выработку электрической энергии на ТЭЦ с учетом ее доставки до потребителя.</w:t>
      </w:r>
    </w:p>
    <w:p>
      <w:pPr>
        <w:spacing w:after="60"/>
        <w:ind w:firstLine="567"/>
        <w:jc w:val="both"/>
      </w:pPr>
      <w:r>
        <w:rPr>
          <w:rFonts w:ascii="Arial" w:cs="Arial" w:eastAsia="Arial" w:hAnsi="Arial"/>
          <w:sz w:val="24"/>
          <w:szCs w:val="24"/>
        </w:rPr>
        <w:t xml:space="preserve">Цементное производство";</w:t>
      </w:r>
    </w:p>
    <w:p>
      <w:pPr>
        <w:spacing w:after="60"/>
        <w:ind w:firstLine="567"/>
        <w:jc w:val="both"/>
      </w:pPr>
      <w:r>
        <w:rPr>
          <w:rFonts w:ascii="Arial" w:cs="Arial" w:eastAsia="Arial" w:hAnsi="Arial"/>
          <w:sz w:val="24"/>
          <w:szCs w:val="24"/>
        </w:rPr>
        <w:t xml:space="preserve">в абзаце двадцать восьмом слово "крупными" заменить словом "основными";</w:t>
      </w:r>
    </w:p>
    <w:p>
      <w:pPr>
        <w:spacing w:after="60"/>
        <w:ind w:firstLine="567"/>
        <w:jc w:val="both"/>
      </w:pPr>
      <w:r>
        <w:rPr>
          <w:rFonts w:ascii="Arial" w:cs="Arial" w:eastAsia="Arial" w:hAnsi="Arial"/>
          <w:sz w:val="24"/>
          <w:szCs w:val="24"/>
        </w:rPr>
        <w:t xml:space="preserve">в абзаце двадцать девятом слова "корректироваться на повышающий коэффициент 1,3" заменить словами "327,6 тыйына за 1 кВт.ч (без учета налогов)";</w:t>
      </w:r>
    </w:p>
    <w:p>
      <w:pPr>
        <w:spacing w:after="60"/>
        <w:ind w:firstLine="567"/>
        <w:jc w:val="both"/>
      </w:pPr>
      <w:r>
        <w:rPr>
          <w:rFonts w:ascii="Arial" w:cs="Arial" w:eastAsia="Arial" w:hAnsi="Arial"/>
          <w:sz w:val="24"/>
          <w:szCs w:val="24"/>
        </w:rPr>
        <w:t xml:space="preserve">абзац тридцать второй изложить в следующей редакции:</w:t>
      </w:r>
    </w:p>
    <w:p>
      <w:pPr>
        <w:spacing w:after="60"/>
        <w:ind w:firstLine="567"/>
        <w:jc w:val="both"/>
      </w:pPr>
      <w:r>
        <w:rPr>
          <w:rFonts w:ascii="Arial" w:cs="Arial" w:eastAsia="Arial" w:hAnsi="Arial"/>
          <w:sz w:val="24"/>
          <w:szCs w:val="24"/>
        </w:rPr>
        <w:t xml:space="preserve">"Тариф для производителей электрической энергии, вырабатываемой с использованием возобновляемых источников энергии, производится согласно </w:t>
      </w:r>
      <w:hyperlink w:history="1" r:id="rIdnbzgyrtg0s3yk40uhhzuf">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дополнить </w:t>
      </w:r>
      <w:hyperlink w:history="1" r:id="rIdum3bsjp-prqtd_owckjxg">
        <w:r>
          <w:rPr>
            <w:rFonts w:ascii="Arial" w:cs="Arial" w:eastAsia="Arial" w:hAnsi="Arial"/>
            <w:color w:val="1D4ED8"/>
            <w:sz w:val="24"/>
            <w:szCs w:val="24"/>
            <w:u w:val="single"/>
          </w:rPr>
          <w:t xml:space="preserve">приложением 2-1</w:t>
        </w:r>
      </w:hyperlink>
      <w:r>
        <w:rPr>
          <w:rFonts w:ascii="Arial" w:cs="Arial" w:eastAsia="Arial" w:hAnsi="Arial"/>
          <w:sz w:val="24"/>
          <w:szCs w:val="24"/>
        </w:rPr>
        <w:t xml:space="preserve"> в редакции согласно </w:t>
      </w:r>
      <w:hyperlink w:history="1" r:id="rIddncd_ql9ftv2zltaye_r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к настоящему постановлению;</w:t>
      </w:r>
    </w:p>
    <w:p>
      <w:pPr>
        <w:spacing w:after="60"/>
        <w:ind w:firstLine="567"/>
        <w:jc w:val="both"/>
      </w:pPr>
      <w:r>
        <w:rPr>
          <w:rFonts w:ascii="Arial" w:cs="Arial" w:eastAsia="Arial" w:hAnsi="Arial"/>
          <w:sz w:val="24"/>
          <w:szCs w:val="24"/>
        </w:rPr>
        <w:t xml:space="preserve">- в </w:t>
      </w:r>
      <w:hyperlink w:history="1" r:id="rIdplaoswv9jblb4nmfubes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Среднесрочной тарифной политике:</w:t>
      </w:r>
    </w:p>
    <w:p>
      <w:pPr>
        <w:spacing w:after="60"/>
        <w:ind w:firstLine="567"/>
        <w:jc w:val="both"/>
      </w:pPr>
      <w:r>
        <w:rPr>
          <w:rFonts w:ascii="Arial" w:cs="Arial" w:eastAsia="Arial" w:hAnsi="Arial"/>
          <w:sz w:val="24"/>
          <w:szCs w:val="24"/>
        </w:rPr>
        <w:t xml:space="preserve">в подпункте 1.6:</w:t>
      </w:r>
    </w:p>
    <w:p>
      <w:pPr>
        <w:spacing w:after="60"/>
        <w:ind w:firstLine="567"/>
        <w:jc w:val="both"/>
      </w:pPr>
      <w:r>
        <w:rPr>
          <w:rFonts w:ascii="Arial" w:cs="Arial" w:eastAsia="Arial" w:hAnsi="Arial"/>
          <w:sz w:val="24"/>
          <w:szCs w:val="24"/>
        </w:rPr>
        <w:t xml:space="preserve">в графе "01.05.2023 г." цифры "252,0" заменить цифрами "327,6";</w:t>
      </w:r>
    </w:p>
    <w:p>
      <w:pPr>
        <w:spacing w:after="60"/>
        <w:ind w:firstLine="567"/>
        <w:jc w:val="both"/>
      </w:pPr>
      <w:r>
        <w:rPr>
          <w:rFonts w:ascii="Arial" w:cs="Arial" w:eastAsia="Arial" w:hAnsi="Arial"/>
          <w:sz w:val="24"/>
          <w:szCs w:val="24"/>
        </w:rPr>
        <w:t xml:space="preserve">строку "Повышающий коэффициент" исключить;</w:t>
      </w:r>
    </w:p>
    <w:p>
      <w:pPr>
        <w:spacing w:after="60"/>
        <w:ind w:firstLine="567"/>
        <w:jc w:val="both"/>
      </w:pPr>
      <w:r>
        <w:rPr>
          <w:rFonts w:ascii="Arial" w:cs="Arial" w:eastAsia="Arial" w:hAnsi="Arial"/>
          <w:sz w:val="24"/>
          <w:szCs w:val="24"/>
        </w:rPr>
        <w:t xml:space="preserve">в подпункте 3.1 слова "Общественные и частные" исключить;</w:t>
      </w:r>
    </w:p>
    <w:p>
      <w:pPr>
        <w:spacing w:after="60"/>
        <w:ind w:firstLine="567"/>
        <w:jc w:val="both"/>
      </w:pPr>
      <w:r>
        <w:rPr>
          <w:rFonts w:ascii="Arial" w:cs="Arial" w:eastAsia="Arial" w:hAnsi="Arial"/>
          <w:sz w:val="24"/>
          <w:szCs w:val="24"/>
        </w:rPr>
        <w:t xml:space="preserve">подпункт 3.2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4052"/>
        <w:gridCol w:w="1405"/>
        <w:gridCol w:w="278"/>
        <w:gridCol w:w="278"/>
        <w:gridCol w:w="735"/>
        <w:gridCol w:w="1470"/>
        <w:gridCol w:w="1470"/>
      </w:tblGrid>
      <w:tr>
        <w:tc>
          <w:tcPr>
            <w:tcW w:type="dxa" w:w="490"/>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40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по зарядке электромобилей, использующие электроэнергию без ограничения потребления и мощности</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442,0</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single" w:color="CBBF9E" w:sz="4"/>
              <w:left w:val="single" w:color="CBBF9E" w:sz="4"/>
              <w:bottom w:val="none" w:color="auto" w:sz="0"/>
              <w:right w:val="single" w:color="CBBF9E" w:sz="4"/>
            </w:tcBorders>
          </w:tcPr>
          <w:p/>
        </w:tc>
        <w:tc>
          <w:tcPr>
            <w:tcW w:type="dxa" w:w="4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10-14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2622"/>
        <w:gridCol w:w="1400"/>
        <w:gridCol w:w="733"/>
        <w:gridCol w:w="733"/>
        <w:gridCol w:w="733"/>
        <w:gridCol w:w="1759"/>
        <w:gridCol w:w="1759"/>
      </w:tblGrid>
      <w:tr>
        <w:tc>
          <w:tcPr>
            <w:tcW w:type="dxa" w:w="440"/>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Майнинг (крипто-валюта)</w:t>
            </w:r>
          </w:p>
        </w:tc>
        <w:tc>
          <w:tcPr>
            <w:tcW w:type="dxa" w:w="1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single" w:color="CBBF9E" w:sz="4"/>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Золоторудная промышленность</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Литейное производство</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промышленность</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Цементное производство</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vfn8_r9fbpggyj0wi7ewa">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Среднесрочной тарифной политике:</w:t>
      </w:r>
    </w:p>
    <w:p>
      <w:pPr>
        <w:spacing w:after="60"/>
        <w:ind w:firstLine="567"/>
        <w:jc w:val="both"/>
      </w:pPr>
      <w:r>
        <w:rPr>
          <w:rFonts w:ascii="Arial" w:cs="Arial" w:eastAsia="Arial" w:hAnsi="Arial"/>
          <w:sz w:val="24"/>
          <w:szCs w:val="24"/>
        </w:rPr>
        <w:t xml:space="preserve">в подпункте 1.6:</w:t>
      </w:r>
    </w:p>
    <w:p>
      <w:pPr>
        <w:spacing w:after="60"/>
        <w:ind w:firstLine="567"/>
        <w:jc w:val="both"/>
      </w:pPr>
      <w:r>
        <w:rPr>
          <w:rFonts w:ascii="Arial" w:cs="Arial" w:eastAsia="Arial" w:hAnsi="Arial"/>
          <w:sz w:val="24"/>
          <w:szCs w:val="24"/>
        </w:rPr>
        <w:t xml:space="preserve">в графе "01.05.2023 г." цифры "252,0" заменить цифрами "327,6";</w:t>
      </w:r>
    </w:p>
    <w:p>
      <w:pPr>
        <w:spacing w:after="60"/>
        <w:ind w:firstLine="567"/>
        <w:jc w:val="both"/>
      </w:pPr>
      <w:r>
        <w:rPr>
          <w:rFonts w:ascii="Arial" w:cs="Arial" w:eastAsia="Arial" w:hAnsi="Arial"/>
          <w:sz w:val="24"/>
          <w:szCs w:val="24"/>
        </w:rPr>
        <w:t xml:space="preserve">строку "Повышающий коэффициент" исключить;</w:t>
      </w:r>
    </w:p>
    <w:p>
      <w:pPr>
        <w:spacing w:after="60"/>
        <w:ind w:firstLine="567"/>
        <w:jc w:val="both"/>
      </w:pPr>
      <w:hyperlink w:history="1" r:id="rIdhp0sh2v05bmfv9ees3jyj">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соответствии со </w:t>
      </w:r>
      <w:hyperlink w:history="1" r:id="rIdkdgsu8lpp6agngl9j5u0c">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Закона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оплата за электроэнергию, потребляемую населением, насосными станциями Токтогульского района и села Жазыкечуу города Кара-Куль, осуществляется по себестоимости электроэнергии, вырабатываемой Токтогульской ГЭС, с учетом норм потребления,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В целях исключения накладки льгот компенсация при оплате за электрическую энергию в размере 50%, установленная в соответствии с </w:t>
      </w:r>
      <w:hyperlink w:history="1" r:id="rIdxqvam6zce8rawwu6th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применяется на тариф, указанный в подпункте 1.2 настоящего приложения.";</w:t>
      </w:r>
    </w:p>
    <w:p>
      <w:pPr>
        <w:spacing w:after="60"/>
        <w:ind w:firstLine="567"/>
        <w:jc w:val="both"/>
      </w:pPr>
      <w:r>
        <w:rPr>
          <w:rFonts w:ascii="Arial" w:cs="Arial" w:eastAsia="Arial" w:hAnsi="Arial"/>
          <w:sz w:val="24"/>
          <w:szCs w:val="24"/>
        </w:rPr>
        <w:t xml:space="preserve">- </w:t>
      </w:r>
      <w:hyperlink w:history="1" r:id="rIdgv0l0m7r7mro50umrt2j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Среднесрочной тарифной политике изложить в редакции согласно </w:t>
      </w:r>
      <w:hyperlink w:history="1" r:id="rIdlhsotdgigr_-kkmi7jxt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19 декабря 2023 года № 100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89fhadc68wtontx33x2tk">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w:t>
      </w:r>
      <w:r>
        <w:rPr>
          <w:rFonts w:ascii="Arial" w:cs="Arial" w:eastAsia="Arial" w:hAnsi="Arial"/>
          <w:sz w:val="24"/>
          <w:szCs w:val="24"/>
        </w:rPr>
        <w:t xml:space="preserve">к Среднесрочной тарифной политике Кыргызской Республики на электрическую энергию на 2021-2025 годы</w:t>
      </w:r>
    </w:p>
    <w:p>
      <w:pPr>
        <w:spacing w:after="400" w:before="400"/>
        <w:jc w:val="center"/>
      </w:pPr>
      <w:r>
        <w:rPr>
          <w:rFonts w:ascii="Arial" w:cs="Arial" w:eastAsia="Arial" w:hAnsi="Arial"/>
          <w:b/>
          <w:bCs/>
          <w:sz w:val="32"/>
          <w:szCs w:val="32"/>
        </w:rPr>
        <w:t xml:space="preserve">ТАРИФ
 для производителей электрической энергии, вырабатываемой с использованием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0"/>
        <w:gridCol w:w="1598"/>
        <w:gridCol w:w="995"/>
        <w:gridCol w:w="1647"/>
        <w:gridCol w:w="1647"/>
      </w:tblGrid>
      <w:tr>
        <w:tc>
          <w:tcPr>
            <w:tcW w:type="dxa" w:w="42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Группы потребителей</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w:t>
            </w:r>
          </w:p>
        </w:tc>
        <w:tc>
          <w:tcPr>
            <w:tcW w:type="dxa" w:w="16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01.06.2024 г.</w:t>
            </w:r>
          </w:p>
        </w:tc>
        <w:tc>
          <w:tcPr>
            <w:tcW w:type="dxa" w:w="16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01.06.2025 г.</w:t>
            </w:r>
          </w:p>
        </w:tc>
      </w:tr>
      <w:tr>
        <w:tc>
          <w:tcPr>
            <w:tcW w:type="dxa" w:w="4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Возобновляемые источники энергии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Тариф для производителей электрической энергии, вырабатываемой с использованием возобновляемых источников энергии, умножается на соответствующий коэффициент по каждому виду установки в следующих размерах:</w:t>
      </w:r>
    </w:p>
    <w:p>
      <w:pPr>
        <w:spacing w:after="60"/>
        <w:ind w:firstLine="567"/>
        <w:jc w:val="both"/>
      </w:pPr>
      <w:r>
        <w:rPr>
          <w:rFonts w:ascii="Arial" w:cs="Arial" w:eastAsia="Arial" w:hAnsi="Arial"/>
          <w:sz w:val="24"/>
          <w:szCs w:val="24"/>
        </w:rPr>
        <w:t xml:space="preserve">1) для установок, использующих энергию воды, коэффициент равен 1,3;</w:t>
      </w:r>
    </w:p>
    <w:p>
      <w:pPr>
        <w:spacing w:after="60"/>
        <w:ind w:firstLine="567"/>
        <w:jc w:val="both"/>
      </w:pPr>
      <w:r>
        <w:rPr>
          <w:rFonts w:ascii="Arial" w:cs="Arial" w:eastAsia="Arial" w:hAnsi="Arial"/>
          <w:sz w:val="24"/>
          <w:szCs w:val="24"/>
        </w:rPr>
        <w:t xml:space="preserve">2) для установок, использующих энергию солнца, коэффициент равен 1,3;</w:t>
      </w:r>
    </w:p>
    <w:p>
      <w:pPr>
        <w:spacing w:after="60"/>
        <w:ind w:firstLine="567"/>
        <w:jc w:val="both"/>
      </w:pPr>
      <w:r>
        <w:rPr>
          <w:rFonts w:ascii="Arial" w:cs="Arial" w:eastAsia="Arial" w:hAnsi="Arial"/>
          <w:sz w:val="24"/>
          <w:szCs w:val="24"/>
        </w:rPr>
        <w:t xml:space="preserve">3) для установок, использующих энергию биомассы, коэффициент равен 1,3;</w:t>
      </w:r>
    </w:p>
    <w:p>
      <w:pPr>
        <w:spacing w:after="60"/>
        <w:ind w:firstLine="567"/>
        <w:jc w:val="both"/>
      </w:pPr>
      <w:r>
        <w:rPr>
          <w:rFonts w:ascii="Arial" w:cs="Arial" w:eastAsia="Arial" w:hAnsi="Arial"/>
          <w:sz w:val="24"/>
          <w:szCs w:val="24"/>
        </w:rPr>
        <w:t xml:space="preserve">4) для установок, использующих энергию ветра, коэффициент равен 1,3;</w:t>
      </w:r>
    </w:p>
    <w:p>
      <w:pPr>
        <w:spacing w:after="60"/>
        <w:ind w:firstLine="567"/>
        <w:jc w:val="both"/>
      </w:pPr>
      <w:r>
        <w:rPr>
          <w:rFonts w:ascii="Arial" w:cs="Arial" w:eastAsia="Arial" w:hAnsi="Arial"/>
          <w:sz w:val="24"/>
          <w:szCs w:val="24"/>
        </w:rPr>
        <w:t xml:space="preserve">5) для установок, использующих энергию земли, коэффициент равен 1,3.</w:t>
      </w:r>
    </w:p>
    <w:p>
      <w:pPr>
        <w:spacing w:after="60"/>
        <w:ind w:firstLine="567"/>
        <w:jc w:val="both"/>
      </w:pPr>
      <w:r>
        <w:rPr>
          <w:rFonts w:ascii="Arial" w:cs="Arial" w:eastAsia="Arial" w:hAnsi="Arial"/>
          <w:sz w:val="24"/>
          <w:szCs w:val="24"/>
        </w:rPr>
        <w:t xml:space="preserve">2. Тариф для производителей электрической энергии, вырабатываемой с использованием возобновляемых источников энергии, действует в течение срока действия льготного периода.".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ltj_-0_vtrbj8cn7fvp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w:t>
      </w:r>
      <w:r>
        <w:rPr>
          <w:rFonts w:ascii="Arial" w:cs="Arial" w:eastAsia="Arial" w:hAnsi="Arial"/>
          <w:sz w:val="24"/>
          <w:szCs w:val="24"/>
        </w:rPr>
        <w:t xml:space="preserve">к Среднесрочной тарифной политике Кыргызской Республики на электрическую энергию на 2021-2025 годы</w:t>
      </w:r>
    </w:p>
    <w:p>
      <w:pPr>
        <w:spacing w:after="400" w:before="400"/>
        <w:jc w:val="center"/>
      </w:pPr>
      <w:r>
        <w:rPr>
          <w:rFonts w:ascii="Arial" w:cs="Arial" w:eastAsia="Arial" w:hAnsi="Arial"/>
          <w:b/>
          <w:bCs/>
          <w:sz w:val="32"/>
          <w:szCs w:val="32"/>
        </w:rPr>
        <w:t xml:space="preserve">ИНСТРУКЦИЯ
 по применению тарифов на электрическую энергию</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применения тарифов на электрическую энергию, утвержденных к применению уполномоченным органом по регулированию топливно-энергетического комплекса в рамках реализации Среднесрочной тарифной политики на электрическую энергию (далее - ССТП), а также определяет перечень потребителей, к которым применяются установленные тарифы.</w:t>
      </w:r>
    </w:p>
    <w:p>
      <w:pPr>
        <w:spacing w:after="60"/>
        <w:ind w:firstLine="567"/>
        <w:jc w:val="both"/>
      </w:pPr>
      <w:r>
        <w:rPr>
          <w:rFonts w:ascii="Arial" w:cs="Arial" w:eastAsia="Arial" w:hAnsi="Arial"/>
          <w:sz w:val="24"/>
          <w:szCs w:val="24"/>
        </w:rPr>
        <w:t xml:space="preserve">2. Уполномоченным государственным органом по регулированию топливно-энергетического комплекса является Департамент по регулированию топливно-энергетического комплекса при Министерстве энергетики Кыргызской Республики.</w:t>
      </w:r>
    </w:p>
    <w:p>
      <w:pPr>
        <w:spacing w:after="200" w:before="200"/>
        <w:jc w:val="center"/>
      </w:pPr>
      <w:r>
        <w:rPr>
          <w:rFonts w:ascii="Arial" w:cs="Arial" w:eastAsia="Arial" w:hAnsi="Arial"/>
          <w:b/>
          <w:bCs/>
          <w:sz w:val="32"/>
          <w:szCs w:val="32"/>
        </w:rPr>
        <w:t xml:space="preserve">Глава 2. Сфера применения тарифов</w:t>
      </w:r>
    </w:p>
    <w:p>
      <w:pPr>
        <w:spacing w:after="60"/>
        <w:ind w:firstLine="567"/>
        <w:jc w:val="both"/>
      </w:pPr>
      <w:r>
        <w:rPr>
          <w:rFonts w:ascii="Arial" w:cs="Arial" w:eastAsia="Arial" w:hAnsi="Arial"/>
          <w:sz w:val="24"/>
          <w:szCs w:val="24"/>
        </w:rPr>
        <w:t xml:space="preserve">3. Порядок применения тарифов, устанавливаемый настоящей Инструкцией, распространяется на электрическую энергию, вырабатываемую, передаваемую, распределяемую и отпускаемую конечным потребителям электроснабжающими организациями на всей территории Кыргызской Республики.</w:t>
      </w:r>
    </w:p>
    <w:p>
      <w:pPr>
        <w:spacing w:after="60"/>
        <w:ind w:firstLine="567"/>
        <w:jc w:val="both"/>
      </w:pPr>
      <w:r>
        <w:rPr>
          <w:rFonts w:ascii="Arial" w:cs="Arial" w:eastAsia="Arial" w:hAnsi="Arial"/>
          <w:sz w:val="24"/>
          <w:szCs w:val="24"/>
        </w:rPr>
        <w:t xml:space="preserve">4. Применение установленных тарифов на электрическую энергию осуществляется в течение срока, предусмотренного сроком реализации ССТП.</w:t>
      </w:r>
    </w:p>
    <w:p>
      <w:pPr>
        <w:spacing w:after="60"/>
        <w:ind w:firstLine="567"/>
        <w:jc w:val="both"/>
      </w:pPr>
      <w:r>
        <w:rPr>
          <w:rFonts w:ascii="Arial" w:cs="Arial" w:eastAsia="Arial" w:hAnsi="Arial"/>
          <w:sz w:val="24"/>
          <w:szCs w:val="24"/>
        </w:rPr>
        <w:t xml:space="preserve">5. Электроснабжающая организация устанавливает тарифную группу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Перечень предоставляемых документов определяется электроснабжающей организацией.</w:t>
      </w:r>
    </w:p>
    <w:p>
      <w:pPr>
        <w:spacing w:after="60"/>
        <w:ind w:firstLine="567"/>
        <w:jc w:val="both"/>
      </w:pPr>
      <w:r>
        <w:rPr>
          <w:rFonts w:ascii="Arial" w:cs="Arial" w:eastAsia="Arial" w:hAnsi="Arial"/>
          <w:sz w:val="24"/>
          <w:szCs w:val="24"/>
        </w:rPr>
        <w:t xml:space="preserve">6. Электроснабжающая организация применяет тарифную группу потребителей - "Население", малообеспеченные семьи, получающие ежемесячное пособие нуждающимся гражданам (семьям), имеющим детей до 16 лет, - "уй-булого комок", на основании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200" w:before="200"/>
        <w:jc w:val="center"/>
      </w:pPr>
      <w:r>
        <w:rPr>
          <w:rFonts w:ascii="Arial" w:cs="Arial" w:eastAsia="Arial" w:hAnsi="Arial"/>
          <w:b/>
          <w:bCs/>
          <w:sz w:val="32"/>
          <w:szCs w:val="32"/>
        </w:rPr>
        <w:t xml:space="preserve">Глава 3. Виды тарифов</w:t>
      </w:r>
    </w:p>
    <w:p>
      <w:pPr>
        <w:spacing w:after="60"/>
        <w:ind w:firstLine="567"/>
        <w:jc w:val="both"/>
      </w:pPr>
      <w:r>
        <w:rPr>
          <w:rFonts w:ascii="Arial" w:cs="Arial" w:eastAsia="Arial" w:hAnsi="Arial"/>
          <w:sz w:val="24"/>
          <w:szCs w:val="24"/>
        </w:rPr>
        <w:t xml:space="preserve">7. Настоящей Инструкцией регулируется порядок применения следующих видов тарифов, при оплате одного киловатт-часа (кВт.ч) отпущенной потребителям активной электрической энергии:</w:t>
      </w:r>
    </w:p>
    <w:p>
      <w:pPr>
        <w:spacing w:after="60"/>
        <w:ind w:firstLine="567"/>
        <w:jc w:val="both"/>
      </w:pPr>
      <w:r>
        <w:rPr>
          <w:rFonts w:ascii="Arial" w:cs="Arial" w:eastAsia="Arial" w:hAnsi="Arial"/>
          <w:sz w:val="24"/>
          <w:szCs w:val="24"/>
        </w:rPr>
        <w:t xml:space="preserve">1) тариф для группы потребителей "Население" применяется в размере, указанном в подпункте 1.1 </w:t>
      </w:r>
      <w:hyperlink w:history="1" r:id="rId-qtsx0g1kbbvemf7fgcv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2) тариф для группы потребителей "Население" (кроме населения, проживающего в высокогорных и отдаленных труднодоступных зонах) при потреблении электроэнергии свыше 700 кВт.ч за месяц применяется в размере, указанном в подпункте 1.2 </w:t>
      </w:r>
      <w:hyperlink w:history="1" r:id="rIdbvii_wqh12dek3vpckvg5">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 тариф для группы потребителей "Население", проживающих в высокогорных и отдаленных труднодоступных зонах, применяется в размере, указанном в подпункте 1.3 </w:t>
      </w:r>
      <w:hyperlink w:history="1" r:id="rIdrr2u-udlfz8gclva_u7hz">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(включая население, проживающее в высокогорных и отдаленных труднодоступных зонах), при потреблении электроэнергии до 700 кВт.ч в месяц применяется в размере, указанном в подпункте 1.4 </w:t>
      </w:r>
      <w:hyperlink w:history="1" r:id="rIdxtsakxyljzvvfdq2cy5s0">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при потреблении электроэнергии свыше 700 кВт.ч в месяц применяется в размере, указанном в подпункте 1.5 </w:t>
      </w:r>
      <w:hyperlink w:history="1" r:id="rIdhtpxvngoby4fwvtryddvd">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проживающие в высокогорных и отдаленных труднодоступных зонах, при потреблении электроэнергии свыше 700 кВт.ч в месяц применяется в размере, указанном в подпункте 1.3 </w:t>
      </w:r>
      <w:hyperlink w:history="1" r:id="rIdwwchtqva3a6cwsswzt1g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7)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dydpzae9iaarghokhwep4">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 тарифы для группы потребителей "Население" Токтогульского района Джалал-Абадской области и села Жазы-Кечуу города Кара-Куль и города Кара-Куль:</w:t>
      </w:r>
    </w:p>
    <w:p>
      <w:pPr>
        <w:spacing w:after="60"/>
        <w:ind w:firstLine="567"/>
        <w:jc w:val="both"/>
      </w:pPr>
      <w:r>
        <w:rPr>
          <w:rFonts w:ascii="Arial" w:cs="Arial" w:eastAsia="Arial" w:hAnsi="Arial"/>
          <w:sz w:val="24"/>
          <w:szCs w:val="24"/>
        </w:rPr>
        <w:t xml:space="preserve">- при потреблении до 150 кВт.ч в месяц применяется в размере, указанном в подпункте 1.1 </w:t>
      </w:r>
      <w:hyperlink w:history="1" r:id="rIdpha40dkrdkzlxwgpg5rz4">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150 кВт.ч до 700 кВт.ч в месяц (кроме населения, проживающего в высокогорных и отдаленных труднодоступных зонах, а также малообеспеченные семьи, получающие ежемесячное пособие нуждающимся гражданам (семьям), имеющим детей до 16 лет, - "уй-булого комок") применяется в размере, указанном в подпункте 1.2 </w:t>
      </w:r>
      <w:hyperlink w:history="1" r:id="rIduadzdfot535i3dxpaljw_">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700 кВт.ч в месяц (кроме населения, проживающего в высокогорных и отдаленных труднодоступных зонах) применяется в размере, указанном в подпункте 1.3 </w:t>
      </w:r>
      <w:hyperlink w:history="1" r:id="rId3e6ifl9efbfh_awgphxxn">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проживающих в высокогорных и отдаленных труднодоступных зонах применяется в размере, указанном в подпункте 1.4 </w:t>
      </w:r>
      <w:hyperlink w:history="1" r:id="rIdp2crzst3t4cysyszk7zzg">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при потреблении электроэнергии свыше 150 кВт.ч до 700 кВт.ч в месяц применяется в размере, указанном в подпункте 1.5 </w:t>
      </w:r>
      <w:hyperlink w:history="1" r:id="rId6ubqv8wxdjzn2zg1ldbcd">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проживающих в высокогорных и отдаленных труднодоступных зонах, при потреблении электроэнергии свыше 700 кВт.ч в месяц применяется в размере, указанном в подпункте 1.4 </w:t>
      </w:r>
      <w:hyperlink w:history="1" r:id="rIdm8ifsorszujumnriaa_h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9)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9s7lnqsntgdrdkiobnb05">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10) социально-ориентированный тариф для группы потребителей "Насосные станции" применяется в размере, указанном в пункте 2 </w:t>
      </w:r>
      <w:hyperlink w:history="1" r:id="rIdsklsysy8vinktxovv3jmj">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11) тарифы для групп потребителей "Электрический транспорт", "Детские учреждения интернатного типа, социальные стационарные и полустационарные учреждения для инвалидов и/или пожилых граждан", "Религиозные организации" применяются в размерах, указанных в пунктах 3, 4 и 5 </w:t>
      </w:r>
      <w:hyperlink w:history="1" r:id="rIdpyw0nhsmgtyt_w_6rcm6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12) тарифы для остальных групп небытовых потребителей, за исключением групп потребителей "Майнинг (криптовалюта)", "Золоторудная промышленность", "Литейное производство", "Цементное производство" и "Алкогольная промышленность", применяются в размерах, указанных в пунктах 6, 7, 8, 9 </w:t>
      </w:r>
      <w:hyperlink w:history="1" r:id="rIdcfzkjriqyh4i1rqybbiw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13) тариф для группы потребителей "Майнинг (криптовалюта)" применяется в размере, указанном в пункте 10 </w:t>
      </w:r>
      <w:hyperlink w:history="1" r:id="rIdsff9-xob9ufrqoya0kio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14) тариф для группы потребителей "Золоторудная промышленность" применяется в размере, указанном в пункте 11 </w:t>
      </w:r>
      <w:hyperlink w:history="1" r:id="rIdbwxc1awl8zywzwozu9aj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15) тариф для группы потребителей "Литейное производство" применятся в размере, указанном в пункте 12 </w:t>
      </w:r>
      <w:hyperlink w:history="1" r:id="rIdjhp8hurlhj4dqcmdspxa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16) тариф для группы потребителей "Алкогольная промышленность" применяется в размере, указанном в пункте 13 </w:t>
      </w:r>
      <w:hyperlink w:history="1" r:id="rIdcaggnlwe2mhzdfszzfai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17) тариф для группы потребителей "Цементное производство" применяется в размере, указанном в пункте 14 </w:t>
      </w:r>
      <w:hyperlink w:history="1" r:id="rIdjjapqsvpbdvq498w-w4n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 Тарифы, дифференцированные по времени суток, применяются электроснабжающими организациями на основании показаний зарегистрированных систем и приборов учета, позволяющих осуществлять учет электроэнергии в соответствии с режимом потребления по времени суток.</w:t>
      </w:r>
    </w:p>
    <w:p>
      <w:pPr>
        <w:spacing w:after="60"/>
        <w:ind w:firstLine="567"/>
        <w:jc w:val="both"/>
      </w:pPr>
      <w:r>
        <w:rPr>
          <w:rFonts w:ascii="Arial" w:cs="Arial" w:eastAsia="Arial" w:hAnsi="Arial"/>
          <w:sz w:val="24"/>
          <w:szCs w:val="24"/>
        </w:rPr>
        <w:t xml:space="preserve">Дифференцированный тариф определяет стоимость 1-го кВт.ч активной энергии, потребленной в соответствии с установленным для каждого временного периода суток коэффициентом.</w:t>
      </w:r>
    </w:p>
    <w:p>
      <w:pPr>
        <w:spacing w:after="60"/>
        <w:ind w:firstLine="567"/>
        <w:jc w:val="both"/>
      </w:pPr>
      <w:r>
        <w:rPr>
          <w:rFonts w:ascii="Arial" w:cs="Arial" w:eastAsia="Arial" w:hAnsi="Arial"/>
          <w:sz w:val="24"/>
          <w:szCs w:val="24"/>
        </w:rPr>
        <w:t xml:space="preserve">Назначение тарифа, дифференцированного по времени суток, - выравнивание суточного графика нагрузки энергосистемы.</w:t>
      </w:r>
    </w:p>
    <w:p>
      <w:pPr>
        <w:spacing w:after="60"/>
        <w:ind w:firstLine="567"/>
        <w:jc w:val="both"/>
      </w:pPr>
      <w:r>
        <w:rPr>
          <w:rFonts w:ascii="Arial" w:cs="Arial" w:eastAsia="Arial" w:hAnsi="Arial"/>
          <w:sz w:val="24"/>
          <w:szCs w:val="24"/>
        </w:rPr>
        <w:t xml:space="preserve">9. Тарифы на электроэнергию, дифференцированные по времени суток, применяются электроснабжающими организациями для потребителей группы "Население", имеющих зарегистрированные системы и приборы автоматизированной информационно-измерительной системы коммерческого учета электроэнергии (АИИСКУЭ), позволяющие осуществлять учет электроэнергии в соответствии с режимом потребления по времени суток.</w:t>
      </w:r>
    </w:p>
    <w:p>
      <w:pPr>
        <w:spacing w:after="60"/>
        <w:ind w:firstLine="567"/>
        <w:jc w:val="both"/>
      </w:pPr>
      <w:r>
        <w:rPr>
          <w:rFonts w:ascii="Arial" w:cs="Arial" w:eastAsia="Arial" w:hAnsi="Arial"/>
          <w:sz w:val="24"/>
          <w:szCs w:val="24"/>
        </w:rPr>
        <w:t xml:space="preserve">10. При наличии технической возможности у электроснабжающей организации потребитель (абонент)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w:t>
      </w:r>
    </w:p>
    <w:p>
      <w:pPr>
        <w:spacing w:after="60"/>
        <w:ind w:firstLine="567"/>
        <w:jc w:val="both"/>
      </w:pPr>
      <w:r>
        <w:rPr>
          <w:rFonts w:ascii="Arial" w:cs="Arial" w:eastAsia="Arial" w:hAnsi="Arial"/>
          <w:sz w:val="24"/>
          <w:szCs w:val="24"/>
        </w:rPr>
        <w:t xml:space="preserve">1) плата за весь объем потребленной электроэнергии начисляется по действующему в данный период времени тарифу, установленному на объем электроэнергии, превышающий объем потребления в 700 кВт.ч;</w:t>
      </w:r>
    </w:p>
    <w:p>
      <w:pPr>
        <w:spacing w:after="60"/>
        <w:ind w:firstLine="567"/>
        <w:jc w:val="both"/>
      </w:pPr>
      <w:r>
        <w:rPr>
          <w:rFonts w:ascii="Arial" w:cs="Arial" w:eastAsia="Arial" w:hAnsi="Arial"/>
          <w:sz w:val="24"/>
          <w:szCs w:val="24"/>
        </w:rPr>
        <w:t xml:space="preserve">2)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w:t>
      </w:r>
    </w:p>
    <w:p>
      <w:pPr>
        <w:spacing w:after="60"/>
        <w:ind w:firstLine="567"/>
        <w:jc w:val="both"/>
      </w:pPr>
      <w:r>
        <w:rPr>
          <w:rFonts w:ascii="Arial" w:cs="Arial" w:eastAsia="Arial" w:hAnsi="Arial"/>
          <w:sz w:val="24"/>
          <w:szCs w:val="24"/>
        </w:rPr>
        <w:t xml:space="preserve">- коэффициент для ночной зоны (с 23:00 до 07:00 часов) - 0,5;</w:t>
      </w:r>
    </w:p>
    <w:p>
      <w:pPr>
        <w:spacing w:after="60"/>
        <w:ind w:firstLine="567"/>
        <w:jc w:val="both"/>
      </w:pPr>
      <w:r>
        <w:rPr>
          <w:rFonts w:ascii="Arial" w:cs="Arial" w:eastAsia="Arial" w:hAnsi="Arial"/>
          <w:sz w:val="24"/>
          <w:szCs w:val="24"/>
        </w:rPr>
        <w:t xml:space="preserve">- коэффициент для дневной зоны с (07:00 до 23:00 часов) - 1,0.</w:t>
      </w:r>
    </w:p>
    <w:p>
      <w:pPr>
        <w:spacing w:after="200" w:before="200"/>
        <w:jc w:val="center"/>
      </w:pPr>
      <w:r>
        <w:rPr>
          <w:rFonts w:ascii="Arial" w:cs="Arial" w:eastAsia="Arial" w:hAnsi="Arial"/>
          <w:b/>
          <w:bCs/>
          <w:sz w:val="32"/>
          <w:szCs w:val="32"/>
        </w:rPr>
        <w:t xml:space="preserve">Глава 4. Группы потребителей</w:t>
      </w:r>
    </w:p>
    <w:p>
      <w:pPr>
        <w:spacing w:after="60"/>
        <w:ind w:firstLine="567"/>
        <w:jc w:val="both"/>
      </w:pPr>
      <w:r>
        <w:rPr>
          <w:rFonts w:ascii="Arial" w:cs="Arial" w:eastAsia="Arial" w:hAnsi="Arial"/>
          <w:sz w:val="24"/>
          <w:szCs w:val="24"/>
        </w:rPr>
        <w:t xml:space="preserve">11. Все конечные потребители электрической энергии подразделяются на 14 тарифных групп по назначению потребляемой электроэнергии:</w:t>
      </w:r>
    </w:p>
    <w:p>
      <w:pPr>
        <w:spacing w:after="60"/>
        <w:ind w:firstLine="567"/>
        <w:jc w:val="both"/>
      </w:pPr>
      <w:r>
        <w:rPr>
          <w:rFonts w:ascii="Arial" w:cs="Arial" w:eastAsia="Arial" w:hAnsi="Arial"/>
          <w:sz w:val="24"/>
          <w:szCs w:val="24"/>
        </w:rPr>
        <w:t xml:space="preserve">1) группа "Население";</w:t>
      </w:r>
    </w:p>
    <w:p>
      <w:pPr>
        <w:spacing w:after="60"/>
        <w:ind w:firstLine="567"/>
        <w:jc w:val="both"/>
      </w:pPr>
      <w:r>
        <w:rPr>
          <w:rFonts w:ascii="Arial" w:cs="Arial" w:eastAsia="Arial" w:hAnsi="Arial"/>
          <w:sz w:val="24"/>
          <w:szCs w:val="24"/>
        </w:rPr>
        <w:t xml:space="preserve">2) группа "Насосные станции";</w:t>
      </w:r>
    </w:p>
    <w:p>
      <w:pPr>
        <w:spacing w:after="60"/>
        <w:ind w:firstLine="567"/>
        <w:jc w:val="both"/>
      </w:pPr>
      <w:r>
        <w:rPr>
          <w:rFonts w:ascii="Arial" w:cs="Arial" w:eastAsia="Arial" w:hAnsi="Arial"/>
          <w:sz w:val="24"/>
          <w:szCs w:val="24"/>
        </w:rPr>
        <w:t xml:space="preserve">3) группа "Электрический транспорт";</w:t>
      </w:r>
    </w:p>
    <w:p>
      <w:pPr>
        <w:spacing w:after="60"/>
        <w:ind w:firstLine="567"/>
        <w:jc w:val="both"/>
      </w:pPr>
      <w:r>
        <w:rPr>
          <w:rFonts w:ascii="Arial" w:cs="Arial" w:eastAsia="Arial" w:hAnsi="Arial"/>
          <w:sz w:val="24"/>
          <w:szCs w:val="24"/>
        </w:rPr>
        <w:t xml:space="preserve">4) группа "Детские учреждения интернатного типа, социальные стационарные и полустационарные учреждения для инвалидов и/или пожилых граждан";</w:t>
      </w:r>
    </w:p>
    <w:p>
      <w:pPr>
        <w:spacing w:after="60"/>
        <w:ind w:firstLine="567"/>
        <w:jc w:val="both"/>
      </w:pPr>
      <w:r>
        <w:rPr>
          <w:rFonts w:ascii="Arial" w:cs="Arial" w:eastAsia="Arial" w:hAnsi="Arial"/>
          <w:sz w:val="24"/>
          <w:szCs w:val="24"/>
        </w:rPr>
        <w:t xml:space="preserve">5) группа "Религиозные организации";</w:t>
      </w:r>
    </w:p>
    <w:p>
      <w:pPr>
        <w:spacing w:after="60"/>
        <w:ind w:firstLine="567"/>
        <w:jc w:val="both"/>
      </w:pPr>
      <w:r>
        <w:rPr>
          <w:rFonts w:ascii="Arial" w:cs="Arial" w:eastAsia="Arial" w:hAnsi="Arial"/>
          <w:sz w:val="24"/>
          <w:szCs w:val="24"/>
        </w:rPr>
        <w:t xml:space="preserve">6) группа "Бюджетные потребители (потребители, финансируемые из республиканского и/или местного бюджета)";</w:t>
      </w:r>
    </w:p>
    <w:p>
      <w:pPr>
        <w:spacing w:after="60"/>
        <w:ind w:firstLine="567"/>
        <w:jc w:val="both"/>
      </w:pPr>
      <w:r>
        <w:rPr>
          <w:rFonts w:ascii="Arial" w:cs="Arial" w:eastAsia="Arial" w:hAnsi="Arial"/>
          <w:sz w:val="24"/>
          <w:szCs w:val="24"/>
        </w:rPr>
        <w:t xml:space="preserve">7) группа "Сельское хозяйство";</w:t>
      </w:r>
    </w:p>
    <w:p>
      <w:pPr>
        <w:spacing w:after="60"/>
        <w:ind w:firstLine="567"/>
        <w:jc w:val="both"/>
      </w:pPr>
      <w:r>
        <w:rPr>
          <w:rFonts w:ascii="Arial" w:cs="Arial" w:eastAsia="Arial" w:hAnsi="Arial"/>
          <w:sz w:val="24"/>
          <w:szCs w:val="24"/>
        </w:rPr>
        <w:t xml:space="preserve">8) группа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9) группа "Прочие потребители";</w:t>
      </w:r>
    </w:p>
    <w:p>
      <w:pPr>
        <w:spacing w:after="60"/>
        <w:ind w:firstLine="567"/>
        <w:jc w:val="both"/>
      </w:pPr>
      <w:r>
        <w:rPr>
          <w:rFonts w:ascii="Arial" w:cs="Arial" w:eastAsia="Arial" w:hAnsi="Arial"/>
          <w:sz w:val="24"/>
          <w:szCs w:val="24"/>
        </w:rPr>
        <w:t xml:space="preserve">10) группа "Майнинг (криптовалюта)";</w:t>
      </w:r>
    </w:p>
    <w:p>
      <w:pPr>
        <w:spacing w:after="60"/>
        <w:ind w:firstLine="567"/>
        <w:jc w:val="both"/>
      </w:pPr>
      <w:r>
        <w:rPr>
          <w:rFonts w:ascii="Arial" w:cs="Arial" w:eastAsia="Arial" w:hAnsi="Arial"/>
          <w:sz w:val="24"/>
          <w:szCs w:val="24"/>
        </w:rPr>
        <w:t xml:space="preserve">11) группа "Золоторудная промышленность";</w:t>
      </w:r>
    </w:p>
    <w:p>
      <w:pPr>
        <w:spacing w:after="60"/>
        <w:ind w:firstLine="567"/>
        <w:jc w:val="both"/>
      </w:pPr>
      <w:r>
        <w:rPr>
          <w:rFonts w:ascii="Arial" w:cs="Arial" w:eastAsia="Arial" w:hAnsi="Arial"/>
          <w:sz w:val="24"/>
          <w:szCs w:val="24"/>
        </w:rPr>
        <w:t xml:space="preserve">12) группа "Литейное производство";</w:t>
      </w:r>
    </w:p>
    <w:p>
      <w:pPr>
        <w:spacing w:after="60"/>
        <w:ind w:firstLine="567"/>
        <w:jc w:val="both"/>
      </w:pPr>
      <w:r>
        <w:rPr>
          <w:rFonts w:ascii="Arial" w:cs="Arial" w:eastAsia="Arial" w:hAnsi="Arial"/>
          <w:sz w:val="24"/>
          <w:szCs w:val="24"/>
        </w:rPr>
        <w:t xml:space="preserve">13) группа "Алкогольная промышленность";</w:t>
      </w:r>
    </w:p>
    <w:p>
      <w:pPr>
        <w:spacing w:after="60"/>
        <w:ind w:firstLine="567"/>
        <w:jc w:val="both"/>
      </w:pPr>
      <w:r>
        <w:rPr>
          <w:rFonts w:ascii="Arial" w:cs="Arial" w:eastAsia="Arial" w:hAnsi="Arial"/>
          <w:sz w:val="24"/>
          <w:szCs w:val="24"/>
        </w:rPr>
        <w:t xml:space="preserve">14) группа "Цементное производство".</w:t>
      </w:r>
    </w:p>
    <w:p>
      <w:pPr>
        <w:spacing w:after="60"/>
        <w:ind w:firstLine="567"/>
        <w:jc w:val="both"/>
      </w:pPr>
      <w:r>
        <w:rPr>
          <w:rFonts w:ascii="Arial" w:cs="Arial" w:eastAsia="Arial" w:hAnsi="Arial"/>
          <w:sz w:val="24"/>
          <w:szCs w:val="24"/>
        </w:rPr>
        <w:t xml:space="preserve">12. Все группы потребителей, не относящиеся к группе "Население", относятся к небытовым потребителям.</w:t>
      </w:r>
    </w:p>
    <w:p>
      <w:pPr>
        <w:spacing w:after="200" w:before="200"/>
        <w:jc w:val="center"/>
      </w:pPr>
      <w:r>
        <w:rPr>
          <w:rFonts w:ascii="Arial" w:cs="Arial" w:eastAsia="Arial" w:hAnsi="Arial"/>
          <w:b/>
          <w:bCs/>
          <w:sz w:val="32"/>
          <w:szCs w:val="32"/>
        </w:rPr>
        <w:t xml:space="preserve">Глава 5. Применение тарифов на электрическую энергию, отпускаемую группе "Население"</w:t>
      </w:r>
    </w:p>
    <w:p>
      <w:pPr>
        <w:spacing w:after="60"/>
        <w:ind w:firstLine="567"/>
        <w:jc w:val="both"/>
      </w:pPr>
      <w:r>
        <w:rPr>
          <w:rFonts w:ascii="Arial" w:cs="Arial" w:eastAsia="Arial" w:hAnsi="Arial"/>
          <w:sz w:val="24"/>
          <w:szCs w:val="24"/>
        </w:rPr>
        <w:t xml:space="preserve">13. Отпуск электрической энергии населению производится по тарифам, установленным уполномоченным государственным органом по регулированию топливно-энергетического комплекса, независимо от характера и объемов использования электрической энергии.</w:t>
      </w:r>
    </w:p>
    <w:p>
      <w:pPr>
        <w:spacing w:after="60"/>
        <w:ind w:firstLine="567"/>
        <w:jc w:val="both"/>
      </w:pPr>
      <w:r>
        <w:rPr>
          <w:rFonts w:ascii="Arial" w:cs="Arial" w:eastAsia="Arial" w:hAnsi="Arial"/>
          <w:sz w:val="24"/>
          <w:szCs w:val="24"/>
        </w:rPr>
        <w:t xml:space="preserve">14. По указанным тарифам начисляется плата за электрическую энергию, расходуемую населением, проживающим в жилых помещениях, домах и квартирах, для различных бытовых нужд, а также за электрическую энергию, отпускаемую дачным и садоводческим товариществам.</w:t>
      </w:r>
    </w:p>
    <w:p>
      <w:pPr>
        <w:spacing w:after="60"/>
        <w:ind w:firstLine="567"/>
        <w:jc w:val="both"/>
      </w:pPr>
      <w:r>
        <w:rPr>
          <w:rFonts w:ascii="Arial" w:cs="Arial" w:eastAsia="Arial" w:hAnsi="Arial"/>
          <w:sz w:val="24"/>
          <w:szCs w:val="24"/>
        </w:rPr>
        <w:t xml:space="preserve">15. По тарифам, установленным для группы потребителей "Население", также начисляется оплата потребителям, сдающим в аренду отдыхающим и временно-проживающим жилые дома и помещения (гостевые дома), на время отсутствия отдыхающих и временно-проживающих (при прекращении туристического сезона). Электроснабжающая организация должна заключить с таким абонентом контракт, в котором должны быть указаны сроки и длительность сдачи жилых домов и помещений в аренду.</w:t>
      </w:r>
    </w:p>
    <w:p>
      <w:pPr>
        <w:spacing w:after="60"/>
        <w:ind w:firstLine="567"/>
        <w:jc w:val="both"/>
      </w:pPr>
      <w:r>
        <w:rPr>
          <w:rFonts w:ascii="Arial" w:cs="Arial" w:eastAsia="Arial" w:hAnsi="Arial"/>
          <w:sz w:val="24"/>
          <w:szCs w:val="24"/>
        </w:rPr>
        <w:t xml:space="preserve">При этом, если снимающими в аренду жилье или временно-проживающими являются малообеспеченные семьи, получающие ежемесячное пособие нуждающимся гражданам (семьям), имеющим детей до 16 лет, - "уй-булого комок", которые не имеют договора (контракта) с электроснабжающей организацией, применяется тариф, указанный в подпункте 1.4 </w:t>
      </w:r>
      <w:hyperlink w:history="1" r:id="rIdttv4ycq1ykrgxbdztxrr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При этом не требуется заключение отдельного договора.</w:t>
      </w:r>
    </w:p>
    <w:p>
      <w:pPr>
        <w:spacing w:after="60"/>
        <w:ind w:firstLine="567"/>
        <w:jc w:val="both"/>
      </w:pPr>
      <w:r>
        <w:rPr>
          <w:rFonts w:ascii="Arial" w:cs="Arial" w:eastAsia="Arial" w:hAnsi="Arial"/>
          <w:sz w:val="24"/>
          <w:szCs w:val="24"/>
        </w:rPr>
        <w:t xml:space="preserve">16. Для населения действует социально-ориентированный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кВт.ч (за исключением населения, проживающего в высокогорных и отдаленных труднодоступных зонах). Плата за электроэнергию в пределах гарантированного объема льготного потребления рассчитывается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17. При расчетах объемов потребления электроэнергии в месяц необходимо исходить из среднесуточного потребления абонентом электроэнергии, которое составляет:</w:t>
      </w:r>
    </w:p>
    <w:p>
      <w:pPr>
        <w:spacing w:after="60"/>
        <w:ind w:firstLine="567"/>
        <w:jc w:val="both"/>
      </w:pPr>
      <w:r>
        <w:rPr>
          <w:rFonts w:ascii="Arial" w:cs="Arial" w:eastAsia="Arial" w:hAnsi="Arial"/>
          <w:sz w:val="24"/>
          <w:szCs w:val="24"/>
        </w:rPr>
        <w:t xml:space="preserve">700 кВт.ч * 12 мес. / 365 дней = 23,014 кВт.ч.</w:t>
      </w:r>
    </w:p>
    <w:p>
      <w:pPr>
        <w:spacing w:after="60"/>
        <w:ind w:firstLine="567"/>
        <w:jc w:val="both"/>
      </w:pPr>
      <w:r>
        <w:rPr>
          <w:rFonts w:ascii="Arial" w:cs="Arial" w:eastAsia="Arial" w:hAnsi="Arial"/>
          <w:sz w:val="24"/>
          <w:szCs w:val="24"/>
        </w:rPr>
        <w:t xml:space="preserve">18. Для населения, проживающего в высокогорных и отдаленных труднодоступных зонах, круглый год действует социально-ориентированный тариф на всю потребленную электрическую энергию.</w:t>
      </w:r>
    </w:p>
    <w:p>
      <w:pPr>
        <w:spacing w:after="60"/>
        <w:ind w:firstLine="567"/>
        <w:jc w:val="both"/>
      </w:pPr>
      <w:r>
        <w:rPr>
          <w:rFonts w:ascii="Arial" w:cs="Arial" w:eastAsia="Arial" w:hAnsi="Arial"/>
          <w:sz w:val="24"/>
          <w:szCs w:val="24"/>
        </w:rPr>
        <w:t xml:space="preserve">19.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месту жительства/пребывания этих лиц с первого числа месяца, следующего за месяцем представления соответствующих списков, и прекращается с первого числа месяца, следующего за месяцем, в котором были прекращены выплаты.</w:t>
      </w:r>
    </w:p>
    <w:p>
      <w:pPr>
        <w:spacing w:after="60"/>
        <w:ind w:firstLine="567"/>
        <w:jc w:val="both"/>
      </w:pPr>
      <w:r>
        <w:rPr>
          <w:rFonts w:ascii="Arial" w:cs="Arial" w:eastAsia="Arial" w:hAnsi="Arial"/>
          <w:sz w:val="24"/>
          <w:szCs w:val="24"/>
        </w:rPr>
        <w:t xml:space="preserve">При изменении места жительства/пребывания срок действия тарифа:</w:t>
      </w:r>
    </w:p>
    <w:p>
      <w:pPr>
        <w:spacing w:after="60"/>
        <w:ind w:firstLine="567"/>
        <w:jc w:val="both"/>
      </w:pPr>
      <w:r>
        <w:rPr>
          <w:rFonts w:ascii="Arial" w:cs="Arial" w:eastAsia="Arial" w:hAnsi="Arial"/>
          <w:sz w:val="24"/>
          <w:szCs w:val="24"/>
        </w:rPr>
        <w:t xml:space="preserve">- по последнему месту жительства - прекращается с первого числа месяца, следующего за месяцем, в котором произошли такие изменения;</w:t>
      </w:r>
    </w:p>
    <w:p>
      <w:pPr>
        <w:spacing w:after="60"/>
        <w:ind w:firstLine="567"/>
        <w:jc w:val="both"/>
      </w:pPr>
      <w:r>
        <w:rPr>
          <w:rFonts w:ascii="Arial" w:cs="Arial" w:eastAsia="Arial" w:hAnsi="Arial"/>
          <w:sz w:val="24"/>
          <w:szCs w:val="24"/>
        </w:rPr>
        <w:t xml:space="preserve">- по новому месту жительства - начинается с первого числа месяца, следующего за месяцем, в течение которого абонент начал проживание.</w:t>
      </w:r>
    </w:p>
    <w:p>
      <w:pPr>
        <w:spacing w:after="60"/>
        <w:ind w:firstLine="567"/>
        <w:jc w:val="both"/>
      </w:pPr>
      <w:r>
        <w:rPr>
          <w:rFonts w:ascii="Arial" w:cs="Arial" w:eastAsia="Arial" w:hAnsi="Arial"/>
          <w:sz w:val="24"/>
          <w:szCs w:val="24"/>
        </w:rPr>
        <w:t xml:space="preserve">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фактическому месту жительства/пребывания и не применяется в отношении двух или более адресов.</w:t>
      </w:r>
    </w:p>
    <w:p>
      <w:pPr>
        <w:spacing w:after="60"/>
        <w:ind w:firstLine="567"/>
        <w:jc w:val="both"/>
      </w:pPr>
      <w:r>
        <w:rPr>
          <w:rFonts w:ascii="Arial" w:cs="Arial" w:eastAsia="Arial" w:hAnsi="Arial"/>
          <w:sz w:val="24"/>
          <w:szCs w:val="24"/>
        </w:rPr>
        <w:t xml:space="preserve">Потребители, малообеспеченные семьи, получающие ежемесячное пособие нуждающимся гражданам (семьям), имеющим детей до 16 лет, - "уй-булого комок", не имеющие прямого договора с электроснабжающей организацией, представляют в электроснабжающую организацию лицевой счет абонента по месту жительства/пребывания.</w:t>
      </w:r>
    </w:p>
    <w:p>
      <w:pPr>
        <w:spacing w:after="60"/>
        <w:ind w:firstLine="567"/>
        <w:jc w:val="both"/>
      </w:pPr>
      <w:r>
        <w:rPr>
          <w:rFonts w:ascii="Arial" w:cs="Arial" w:eastAsia="Arial" w:hAnsi="Arial"/>
          <w:sz w:val="24"/>
          <w:szCs w:val="24"/>
        </w:rPr>
        <w:t xml:space="preserve">20. Тариф для группы потребителей "Население, использующее электроэнергию без ограничения потребления и мощности" (за исключением целей майнинга), применяется при наличии технической возможности у электроснабжающей организации и на добровольной основе бытовых потребителей.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кВт.ч действовать не будет.</w:t>
      </w:r>
    </w:p>
    <w:p>
      <w:pPr>
        <w:spacing w:after="60"/>
        <w:ind w:firstLine="567"/>
        <w:jc w:val="both"/>
      </w:pPr>
      <w:r>
        <w:rPr>
          <w:rFonts w:ascii="Arial" w:cs="Arial" w:eastAsia="Arial" w:hAnsi="Arial"/>
          <w:sz w:val="24"/>
          <w:szCs w:val="24"/>
        </w:rPr>
        <w:t xml:space="preserve">21. Для группы потребителей "Население", в случае использования электроэнергии для зарядки электромобилей, не выдаются дополнительные технические условия и мощности, электроэнергия используется в пределах существующей (установленной) мощности.</w:t>
      </w:r>
    </w:p>
    <w:p>
      <w:pPr>
        <w:spacing w:after="60"/>
        <w:ind w:firstLine="567"/>
        <w:jc w:val="both"/>
      </w:pPr>
      <w:r>
        <w:rPr>
          <w:rFonts w:ascii="Arial" w:cs="Arial" w:eastAsia="Arial" w:hAnsi="Arial"/>
          <w:sz w:val="24"/>
          <w:szCs w:val="24"/>
        </w:rPr>
        <w:t xml:space="preserve">22. В случае, когда бытовой абонент использует электроэнергию в объеме, превышающем размер среднесуточного потребления в 23,014 кВт.ч, плата производится по тарифу, указанному в подпункте 1.2 </w:t>
      </w:r>
      <w:hyperlink w:history="1" r:id="rIdnm4uww35sad74516gs86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и в подпункте 1.3 </w:t>
      </w:r>
      <w:hyperlink w:history="1" r:id="rId2ci1viv9ezwe_thxnz7eb">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 Стоимость электроэнергии, рассчитанная по этому тарифу указывается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23. Отпуск электроэнергии дачным и садоводческим товариществам, рассчитывающимся с электроснабжающими организациями по общему расчетному счетчику (и не являющимся потребителями-перепродавцами со смешанной нагрузкой), производится по тарифам, установленным для группы "Население".</w:t>
      </w:r>
    </w:p>
    <w:p>
      <w:pPr>
        <w:spacing w:after="60"/>
        <w:ind w:firstLine="567"/>
        <w:jc w:val="both"/>
      </w:pPr>
      <w:r>
        <w:rPr>
          <w:rFonts w:ascii="Arial" w:cs="Arial" w:eastAsia="Arial" w:hAnsi="Arial"/>
          <w:sz w:val="24"/>
          <w:szCs w:val="24"/>
        </w:rPr>
        <w:t xml:space="preserve">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(электроснабжающей организации).</w:t>
      </w:r>
    </w:p>
    <w:p>
      <w:pPr>
        <w:spacing w:after="60"/>
        <w:ind w:firstLine="567"/>
        <w:jc w:val="both"/>
      </w:pPr>
      <w:r>
        <w:rPr>
          <w:rFonts w:ascii="Arial" w:cs="Arial" w:eastAsia="Arial" w:hAnsi="Arial"/>
          <w:sz w:val="24"/>
          <w:szCs w:val="24"/>
        </w:rPr>
        <w:t xml:space="preserve">При этом начисление производится сначала по первой ступени тарифа для группы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выше 700 кВт.ч.</w:t>
      </w:r>
    </w:p>
    <w:p>
      <w:pPr>
        <w:spacing w:after="60"/>
        <w:ind w:firstLine="567"/>
        <w:jc w:val="both"/>
      </w:pPr>
      <w:r>
        <w:rPr>
          <w:rFonts w:ascii="Arial" w:cs="Arial" w:eastAsia="Arial" w:hAnsi="Arial"/>
          <w:sz w:val="24"/>
          <w:szCs w:val="24"/>
        </w:rPr>
        <w:t xml:space="preserve">24. Электрическая энергия, расходуемая дачными и садоводческими товариществами на полив (при условии, что насосная станция является коллективной), оплачивается отдельно по тарифу, установленному для группы потребителей "Насосные станции", обеспечивающих полив сельскохозяйственных угодий.</w:t>
      </w:r>
    </w:p>
    <w:p>
      <w:pPr>
        <w:spacing w:after="60"/>
        <w:ind w:firstLine="567"/>
        <w:jc w:val="both"/>
      </w:pPr>
      <w:r>
        <w:rPr>
          <w:rFonts w:ascii="Arial" w:cs="Arial" w:eastAsia="Arial" w:hAnsi="Arial"/>
          <w:sz w:val="24"/>
          <w:szCs w:val="24"/>
        </w:rPr>
        <w:t xml:space="preserve">25. Аналогичный алгоритм расчета применяется для всех небытовых абонентов, имеющих потребителей группы "Население", расчет производится по общему прибору учета (общежития, жилые дома гостиничного типа с общим учетом и так далее).</w:t>
      </w:r>
    </w:p>
    <w:p>
      <w:pPr>
        <w:spacing w:after="60"/>
        <w:ind w:firstLine="567"/>
        <w:jc w:val="both"/>
      </w:pPr>
      <w:r>
        <w:rPr>
          <w:rFonts w:ascii="Arial" w:cs="Arial" w:eastAsia="Arial" w:hAnsi="Arial"/>
          <w:sz w:val="24"/>
          <w:szCs w:val="24"/>
        </w:rPr>
        <w:t xml:space="preserve">26. Для группы физических лиц, рассчитывающихся за электроэнергию по одному головному учету и имеющих один лицевой счет, начисление платы за потребленную электроэнергию производится на основании инвентаризации, фиксирующей количество индивидуальных бытовых потребителей, присоединенных к общему головному учету. При этом, если в качестве одного и нескольких потребителей выступает малообеспеченная семья, получающая ежемесячное пособие нуждающимся гражданам (семьям), имеющим детей до 16 лет, - "уй-булого комок", идентификация такого потребителя производится на основании лицевого счета 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60"/>
        <w:ind w:firstLine="567"/>
        <w:jc w:val="both"/>
      </w:pPr>
      <w:r>
        <w:rPr>
          <w:rFonts w:ascii="Arial" w:cs="Arial" w:eastAsia="Arial" w:hAnsi="Arial"/>
          <w:sz w:val="24"/>
          <w:szCs w:val="24"/>
        </w:rPr>
        <w:t xml:space="preserve">Начисление платы производится сначала по первой ступени тарифа для группы потребителей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свыше 700 кВт.ч.</w:t>
      </w:r>
    </w:p>
    <w:p>
      <w:pPr>
        <w:spacing w:after="60"/>
        <w:ind w:firstLine="567"/>
        <w:jc w:val="both"/>
      </w:pPr>
      <w:r>
        <w:rPr>
          <w:rFonts w:ascii="Arial" w:cs="Arial" w:eastAsia="Arial" w:hAnsi="Arial"/>
          <w:sz w:val="24"/>
          <w:szCs w:val="24"/>
        </w:rPr>
        <w:t xml:space="preserve">27. Для потребителей, имеющих в своей собственности трансформаторные подстанции (ТП), линии электропередачи (ЛЭП) и рассчитывающихся по общему прибору учета, расположенному не на границе балансовой принадлежности, начисление производится по показаниям прибора учета и величине потерь в ТП и ЛЭП, принадлежащих потребителю. Начисление за потери в элементах сети потребителя производится по основному тарифу, применяемому к данному потребителю, а в случае подключения нескольких потребителей, относящихся к разным группам, - по наименьшему из применяемых к ним тарифам. В случаях, когда по головному учету рассчитываются потребители группы "Население", расчет за потери в элементах сети потребителя производится по первой ступени тарифа. Потери в сетях потребителя в объеме до 700 кВт.ч потребления электроэнергии каждого абонента не включаются.</w:t>
      </w:r>
    </w:p>
    <w:p>
      <w:pPr>
        <w:spacing w:after="60"/>
        <w:ind w:firstLine="567"/>
        <w:jc w:val="both"/>
      </w:pPr>
      <w:r>
        <w:rPr>
          <w:rFonts w:ascii="Arial" w:cs="Arial" w:eastAsia="Arial" w:hAnsi="Arial"/>
          <w:sz w:val="24"/>
          <w:szCs w:val="24"/>
        </w:rPr>
        <w:t xml:space="preserve">28. Для жителей коммунального сектора плата за потребление электроэнергии общего пользования (подъездное освещение, лифтовое электропотребление, повышающие и понижающие насосы и т.д.) производится по первой ступени тарифа для группы "Население" и не учитывается в объеме до 700 кВт.ч электроэнергии каждого абонента.</w:t>
      </w:r>
    </w:p>
    <w:p>
      <w:pPr>
        <w:spacing w:after="60"/>
        <w:ind w:firstLine="567"/>
        <w:jc w:val="both"/>
      </w:pPr>
      <w:r>
        <w:rPr>
          <w:rFonts w:ascii="Arial" w:cs="Arial" w:eastAsia="Arial" w:hAnsi="Arial"/>
          <w:sz w:val="24"/>
          <w:szCs w:val="24"/>
        </w:rPr>
        <w:t xml:space="preserve">29. Плата за электроэнергию, потребленную электрокотельными, обслуживающими коммунальный сектор и находящимися на балансе кондоминиумов, жилищно-строительных кооперативов, товариществ собственников жилья, производится по первой ступени тарифа, установленного для группы потребителей "Население" в размере 700 кВт.ч, плата за остальной объем рассчитывается по второй ступени для группы "Население".</w:t>
      </w:r>
    </w:p>
    <w:p>
      <w:pPr>
        <w:spacing w:after="60"/>
        <w:ind w:firstLine="567"/>
        <w:jc w:val="both"/>
      </w:pPr>
      <w:r>
        <w:rPr>
          <w:rFonts w:ascii="Arial" w:cs="Arial" w:eastAsia="Arial" w:hAnsi="Arial"/>
          <w:sz w:val="24"/>
          <w:szCs w:val="24"/>
        </w:rPr>
        <w:t xml:space="preserve">30. Электрическая энергия, потребленная жилыми многоквартирными домами, строительство которых не завершено и дома не сданы в эксплуатацию, оплачивается по тарифам, установленным для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31. К группе конечных потребителей "Население" относятся жилые дома, квартиры, общежития квартирного типа, общежития учебных заведений школ-интернатов некоммерческого типа, казармы и общежития гарнизонов военизированных учреждений, следственные изоляторы исправительных учреждений и жилые зоны других министерств и ведомств.</w:t>
      </w:r>
    </w:p>
    <w:p>
      <w:pPr>
        <w:spacing w:after="60"/>
        <w:ind w:firstLine="567"/>
        <w:jc w:val="both"/>
      </w:pPr>
      <w:r>
        <w:rPr>
          <w:rFonts w:ascii="Arial" w:cs="Arial" w:eastAsia="Arial" w:hAnsi="Arial"/>
          <w:sz w:val="24"/>
          <w:szCs w:val="24"/>
        </w:rPr>
        <w:t xml:space="preserve">32. В случае использования электроэнергии населением не для бытовых целей (майнинг, швейное производство, гостиницы, магазины, офисы и др.) плата за электроэнергию производится по тарифу, соответствующему их виду деятельности.</w:t>
      </w:r>
    </w:p>
    <w:p>
      <w:pPr>
        <w:spacing w:after="200" w:before="200"/>
        <w:jc w:val="center"/>
      </w:pPr>
      <w:r>
        <w:rPr>
          <w:rFonts w:ascii="Arial" w:cs="Arial" w:eastAsia="Arial" w:hAnsi="Arial"/>
          <w:b/>
          <w:bCs/>
          <w:sz w:val="32"/>
          <w:szCs w:val="32"/>
        </w:rPr>
        <w:t xml:space="preserve">Глава 6. Применение тарифов на электрическую энергию, отпускаемую группе "Насосные станции"</w:t>
      </w:r>
    </w:p>
    <w:p>
      <w:pPr>
        <w:spacing w:after="60"/>
        <w:ind w:firstLine="567"/>
        <w:jc w:val="both"/>
      </w:pPr>
      <w:r>
        <w:rPr>
          <w:rFonts w:ascii="Arial" w:cs="Arial" w:eastAsia="Arial" w:hAnsi="Arial"/>
          <w:sz w:val="24"/>
          <w:szCs w:val="24"/>
        </w:rPr>
        <w:t xml:space="preserve">33. Отпуск электрической энергии для группы потребителей "Насосные станции" производится по социально-ориентированному тарифу в размере, указанном в пункте 2 </w:t>
      </w:r>
      <w:hyperlink w:history="1" r:id="rIdu9e5d4zktuv4rpx6-d4w8">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34. Отпуск электрической энергии для группы потребителей "Насосные станции" Токтогульского района Джалал-Абадской области и села Жазы-Кечуу г.Кара-Куль и г.Кара-Куль производится по социально-ориентированному тарифу в размере, указанном в пункте 2 </w:t>
      </w:r>
      <w:hyperlink w:history="1" r:id="rIdos7mh9bjfwevahwiokwyz">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35. Начисление платы за электрическую энергию, потребленную насосными станциями, обеспечивающими полив сельскохозяйственных угодий и население питьевой водой, производится по тарифу, установленному уполномоченным государственным органом по регулированию топливно-энергетического комплекса для данной группы.</w:t>
      </w:r>
    </w:p>
    <w:p>
      <w:pPr>
        <w:spacing w:after="60"/>
        <w:ind w:firstLine="567"/>
        <w:jc w:val="both"/>
      </w:pPr>
      <w:r>
        <w:rPr>
          <w:rFonts w:ascii="Arial" w:cs="Arial" w:eastAsia="Arial" w:hAnsi="Arial"/>
          <w:sz w:val="24"/>
          <w:szCs w:val="24"/>
        </w:rPr>
        <w:t xml:space="preserve">36. К потребителям группы "Насосные станции" относятся следующие конечные потребители:</w:t>
      </w:r>
    </w:p>
    <w:p>
      <w:pPr>
        <w:spacing w:after="60"/>
        <w:ind w:firstLine="567"/>
        <w:jc w:val="both"/>
      </w:pPr>
      <w:r>
        <w:rPr>
          <w:rFonts w:ascii="Arial" w:cs="Arial" w:eastAsia="Arial" w:hAnsi="Arial"/>
          <w:sz w:val="24"/>
          <w:szCs w:val="24"/>
        </w:rPr>
        <w:t xml:space="preserve">1) насосные станции и скважины, обеспечивающие население питьевой водой;</w:t>
      </w:r>
    </w:p>
    <w:p>
      <w:pPr>
        <w:spacing w:after="60"/>
        <w:ind w:firstLine="567"/>
        <w:jc w:val="both"/>
      </w:pPr>
      <w:r>
        <w:rPr>
          <w:rFonts w:ascii="Arial" w:cs="Arial" w:eastAsia="Arial" w:hAnsi="Arial"/>
          <w:sz w:val="24"/>
          <w:szCs w:val="24"/>
        </w:rPr>
        <w:t xml:space="preserve">2) насосные станции и скважины, обеспечивающие полив сельскохозяйственных угодий;</w:t>
      </w:r>
    </w:p>
    <w:p>
      <w:pPr>
        <w:spacing w:after="60"/>
        <w:ind w:firstLine="567"/>
        <w:jc w:val="both"/>
      </w:pPr>
      <w:r>
        <w:rPr>
          <w:rFonts w:ascii="Arial" w:cs="Arial" w:eastAsia="Arial" w:hAnsi="Arial"/>
          <w:sz w:val="24"/>
          <w:szCs w:val="24"/>
        </w:rPr>
        <w:t xml:space="preserve">3) насосные станции и скважины предприятий водопроводно-канализационного хозяйства;</w:t>
      </w:r>
    </w:p>
    <w:p>
      <w:pPr>
        <w:spacing w:after="60"/>
        <w:ind w:firstLine="567"/>
        <w:jc w:val="both"/>
      </w:pPr>
      <w:r>
        <w:rPr>
          <w:rFonts w:ascii="Arial" w:cs="Arial" w:eastAsia="Arial" w:hAnsi="Arial"/>
          <w:sz w:val="24"/>
          <w:szCs w:val="24"/>
        </w:rPr>
        <w:t xml:space="preserve">4) насосные станции машинного орошения, оросительные каналы, скважины вертикального дренажа, капельное орошение.</w:t>
      </w:r>
    </w:p>
    <w:p>
      <w:pPr>
        <w:spacing w:after="200" w:before="200"/>
        <w:jc w:val="center"/>
      </w:pPr>
      <w:r>
        <w:rPr>
          <w:rFonts w:ascii="Arial" w:cs="Arial" w:eastAsia="Arial" w:hAnsi="Arial"/>
          <w:b/>
          <w:bCs/>
          <w:sz w:val="32"/>
          <w:szCs w:val="32"/>
        </w:rPr>
        <w:t xml:space="preserve">Глава 7. Применение тарифов на электрическую энергию, отпускаемую группе "Электрический транспорт"</w:t>
      </w:r>
    </w:p>
    <w:p>
      <w:pPr>
        <w:spacing w:after="60"/>
        <w:ind w:firstLine="567"/>
        <w:jc w:val="both"/>
      </w:pPr>
      <w:r>
        <w:rPr>
          <w:rFonts w:ascii="Arial" w:cs="Arial" w:eastAsia="Arial" w:hAnsi="Arial"/>
          <w:sz w:val="24"/>
          <w:szCs w:val="24"/>
        </w:rPr>
        <w:t xml:space="preserve">37. Отпуск электрической энергии потребителям группы "Электрический транспорт"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38. Плата для потребителей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 за потребленную электроэнергию производится по тарифу, указанному в пункте 3 </w:t>
      </w:r>
      <w:hyperlink w:history="1" r:id="rId_070ouoraoavb5scqyoq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39. Плата за потребленную электроэнергию для потребителей "Станции по зарядке электромобилей с установленной мощностью до 23 кВт" производится по тарифу, указанному в подпункте 3.1 </w:t>
      </w:r>
      <w:hyperlink w:history="1" r:id="rIdpg1tpp0kkbf4wdaoc27mh">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40. Плата за потребленную электроэнергию для потребителей "Станции по зарядке электромобилей, использующие электроэнергию без ограничения потребления и мощности" производится по тарифу, указанному в подпункте 3.2 </w:t>
      </w:r>
      <w:hyperlink w:history="1" r:id="rIdsm6orskdc9capv9kfhts3">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41. К потребителям группы "Электрический транспорт" относятся следующие конечные потребители:</w:t>
      </w:r>
    </w:p>
    <w:p>
      <w:pPr>
        <w:spacing w:after="60"/>
        <w:ind w:firstLine="567"/>
        <w:jc w:val="both"/>
      </w:pPr>
      <w:r>
        <w:rPr>
          <w:rFonts w:ascii="Arial" w:cs="Arial" w:eastAsia="Arial" w:hAnsi="Arial"/>
          <w:sz w:val="24"/>
          <w:szCs w:val="24"/>
        </w:rPr>
        <w:t xml:space="preserve">1)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w:t>
      </w:r>
    </w:p>
    <w:p>
      <w:pPr>
        <w:spacing w:after="60"/>
        <w:ind w:firstLine="567"/>
        <w:jc w:val="both"/>
      </w:pPr>
      <w:r>
        <w:rPr>
          <w:rFonts w:ascii="Arial" w:cs="Arial" w:eastAsia="Arial" w:hAnsi="Arial"/>
          <w:sz w:val="24"/>
          <w:szCs w:val="24"/>
        </w:rPr>
        <w:t xml:space="preserve">2) станции по зарядке электромобилей.</w:t>
      </w:r>
    </w:p>
    <w:p>
      <w:pPr>
        <w:spacing w:after="200" w:before="200"/>
        <w:jc w:val="center"/>
      </w:pPr>
      <w:r>
        <w:rPr>
          <w:rFonts w:ascii="Arial" w:cs="Arial" w:eastAsia="Arial" w:hAnsi="Arial"/>
          <w:b/>
          <w:bCs/>
          <w:sz w:val="32"/>
          <w:szCs w:val="32"/>
        </w:rPr>
        <w:t xml:space="preserve">Глава 8. Применение тарифов на электрическую энергию, отпускаемую группе "Детские учреждения интернатного типа, социальные стационарные и полустационарные учреждения для инвалидов и/или пожилых граждан"</w:t>
      </w:r>
    </w:p>
    <w:p>
      <w:pPr>
        <w:spacing w:after="60"/>
        <w:ind w:firstLine="567"/>
        <w:jc w:val="both"/>
      </w:pPr>
      <w:r>
        <w:rPr>
          <w:rFonts w:ascii="Arial" w:cs="Arial" w:eastAsia="Arial" w:hAnsi="Arial"/>
          <w:sz w:val="24"/>
          <w:szCs w:val="24"/>
        </w:rPr>
        <w:t xml:space="preserve">42. Отпуск электрической энергии для группы "Детские учреждения интернатного типа, социальные стационарные и полустационарные учреждения для инвалидов и/или пожилых граждан"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43. Плата потребителями данной группы за потребленную электроэнергию производится по тарифу, указанному в пункте 4 </w:t>
      </w:r>
      <w:hyperlink w:history="1" r:id="rId8hxputy3cruc6a-1nrc4j">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44. К потребителям группы "Детские учреждения интернатного типа, социальные стационарные и полустационарные учреждения для инвалидов и/или пожилых граждан" относятся учреждения, независимо от формы собственности, оказывающие услуги детям, находящимся в трудной жизненной ситуации, инвалидам и/или пожилым гражданам, а также некоммерческие организации, реализующие проекты в рамках государственного социального заказа.</w:t>
      </w:r>
    </w:p>
    <w:p>
      <w:pPr>
        <w:spacing w:after="60"/>
        <w:ind w:firstLine="567"/>
        <w:jc w:val="both"/>
      </w:pPr>
      <w:r>
        <w:rPr>
          <w:rFonts w:ascii="Arial" w:cs="Arial" w:eastAsia="Arial" w:hAnsi="Arial"/>
          <w:sz w:val="24"/>
          <w:szCs w:val="24"/>
        </w:rPr>
        <w:t xml:space="preserve">45. Потребители указанной в пункте 44 группы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60"/>
        <w:ind w:firstLine="567"/>
        <w:jc w:val="both"/>
      </w:pPr>
      <w:r>
        <w:rPr>
          <w:rFonts w:ascii="Arial" w:cs="Arial" w:eastAsia="Arial" w:hAnsi="Arial"/>
          <w:sz w:val="24"/>
          <w:szCs w:val="24"/>
        </w:rPr>
        <w:t xml:space="preserve">1) стационарные:</w:t>
      </w:r>
    </w:p>
    <w:p>
      <w:pPr>
        <w:spacing w:after="60"/>
        <w:ind w:firstLine="567"/>
        <w:jc w:val="both"/>
      </w:pPr>
      <w:r>
        <w:rPr>
          <w:rFonts w:ascii="Arial" w:cs="Arial" w:eastAsia="Arial" w:hAnsi="Arial"/>
          <w:sz w:val="24"/>
          <w:szCs w:val="24"/>
        </w:rPr>
        <w:t xml:space="preserve">- социальные стационарные учреждения для пожилых граждан и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2) полустационарные:</w:t>
      </w:r>
    </w:p>
    <w:p>
      <w:pPr>
        <w:spacing w:after="60"/>
        <w:ind w:firstLine="567"/>
        <w:jc w:val="both"/>
      </w:pPr>
      <w:r>
        <w:rPr>
          <w:rFonts w:ascii="Arial" w:cs="Arial" w:eastAsia="Arial" w:hAnsi="Arial"/>
          <w:sz w:val="24"/>
          <w:szCs w:val="24"/>
        </w:rPr>
        <w:t xml:space="preserve">- центры социального обслуживания пожилых граждан, лиц с ограниченными возможностями здоровья и детей с ограниченными возможностями здоровья (отделения дневного пребывания);</w:t>
      </w:r>
    </w:p>
    <w:p>
      <w:pPr>
        <w:spacing w:after="60"/>
        <w:ind w:firstLine="567"/>
        <w:jc w:val="both"/>
      </w:pPr>
      <w:r>
        <w:rPr>
          <w:rFonts w:ascii="Arial" w:cs="Arial" w:eastAsia="Arial" w:hAnsi="Arial"/>
          <w:sz w:val="24"/>
          <w:szCs w:val="24"/>
        </w:rPr>
        <w:t xml:space="preserve">- социальные приюты для детей и подростков;</w:t>
      </w:r>
    </w:p>
    <w:p>
      <w:pPr>
        <w:spacing w:after="60"/>
        <w:ind w:firstLine="567"/>
        <w:jc w:val="both"/>
      </w:pPr>
      <w:r>
        <w:rPr>
          <w:rFonts w:ascii="Arial" w:cs="Arial" w:eastAsia="Arial" w:hAnsi="Arial"/>
          <w:sz w:val="24"/>
          <w:szCs w:val="24"/>
        </w:rPr>
        <w:t xml:space="preserve">- социально-реабилитационные центры для детей и иных категорий лиц с ограниченными возможностями здоровья;</w:t>
      </w:r>
    </w:p>
    <w:p>
      <w:pPr>
        <w:spacing w:after="60"/>
        <w:ind w:firstLine="567"/>
        <w:jc w:val="both"/>
      </w:pPr>
      <w:r>
        <w:rPr>
          <w:rFonts w:ascii="Arial" w:cs="Arial" w:eastAsia="Arial" w:hAnsi="Arial"/>
          <w:sz w:val="24"/>
          <w:szCs w:val="24"/>
        </w:rPr>
        <w:t xml:space="preserve">- центры социальной помощи детям;</w:t>
      </w:r>
    </w:p>
    <w:p>
      <w:pPr>
        <w:spacing w:after="60"/>
        <w:ind w:firstLine="567"/>
        <w:jc w:val="both"/>
      </w:pPr>
      <w:r>
        <w:rPr>
          <w:rFonts w:ascii="Arial" w:cs="Arial" w:eastAsia="Arial" w:hAnsi="Arial"/>
          <w:sz w:val="24"/>
          <w:szCs w:val="24"/>
        </w:rPr>
        <w:t xml:space="preserve">- приюты ночного пребывания;</w:t>
      </w:r>
    </w:p>
    <w:p>
      <w:pPr>
        <w:spacing w:after="60"/>
        <w:ind w:firstLine="567"/>
        <w:jc w:val="both"/>
      </w:pPr>
      <w:r>
        <w:rPr>
          <w:rFonts w:ascii="Arial" w:cs="Arial" w:eastAsia="Arial" w:hAnsi="Arial"/>
          <w:sz w:val="24"/>
          <w:szCs w:val="24"/>
        </w:rPr>
        <w:t xml:space="preserve">- геронтологические центры;</w:t>
      </w:r>
    </w:p>
    <w:p>
      <w:pPr>
        <w:spacing w:after="60"/>
        <w:ind w:firstLine="567"/>
        <w:jc w:val="both"/>
      </w:pPr>
      <w:r>
        <w:rPr>
          <w:rFonts w:ascii="Arial" w:cs="Arial" w:eastAsia="Arial" w:hAnsi="Arial"/>
          <w:sz w:val="24"/>
          <w:szCs w:val="24"/>
        </w:rPr>
        <w:t xml:space="preserve">- специальные дома для одиноких пожилых граждан;</w:t>
      </w:r>
    </w:p>
    <w:p>
      <w:pPr>
        <w:spacing w:after="60"/>
        <w:ind w:firstLine="567"/>
        <w:jc w:val="both"/>
      </w:pPr>
      <w:r>
        <w:rPr>
          <w:rFonts w:ascii="Arial" w:cs="Arial" w:eastAsia="Arial" w:hAnsi="Arial"/>
          <w:sz w:val="24"/>
          <w:szCs w:val="24"/>
        </w:rPr>
        <w:t xml:space="preserve">- центры помощи детям, оставшимся без попечения родителей;</w:t>
      </w:r>
    </w:p>
    <w:p>
      <w:pPr>
        <w:spacing w:after="60"/>
        <w:ind w:firstLine="567"/>
        <w:jc w:val="both"/>
      </w:pPr>
      <w:r>
        <w:rPr>
          <w:rFonts w:ascii="Arial" w:cs="Arial" w:eastAsia="Arial" w:hAnsi="Arial"/>
          <w:sz w:val="24"/>
          <w:szCs w:val="24"/>
        </w:rPr>
        <w:t xml:space="preserve">- центры помощи выпускникам детских домов (центры социальной адаптации);</w:t>
      </w:r>
    </w:p>
    <w:p>
      <w:pPr>
        <w:spacing w:after="60"/>
        <w:ind w:firstLine="567"/>
        <w:jc w:val="both"/>
      </w:pPr>
      <w:r>
        <w:rPr>
          <w:rFonts w:ascii="Arial" w:cs="Arial" w:eastAsia="Arial" w:hAnsi="Arial"/>
          <w:sz w:val="24"/>
          <w:szCs w:val="24"/>
        </w:rPr>
        <w:t xml:space="preserve">- убежище (центр временного пребывания для лиц, пострадавших от семейного насилия);</w:t>
      </w:r>
    </w:p>
    <w:p>
      <w:pPr>
        <w:spacing w:after="60"/>
        <w:ind w:firstLine="567"/>
        <w:jc w:val="both"/>
      </w:pPr>
      <w:r>
        <w:rPr>
          <w:rFonts w:ascii="Arial" w:cs="Arial" w:eastAsia="Arial" w:hAnsi="Arial"/>
          <w:sz w:val="24"/>
          <w:szCs w:val="24"/>
        </w:rPr>
        <w:t xml:space="preserve">- реабилитационные центры (социальные общежития) согласно статье 33 Закона Кыргызской Республики "О пробации";</w:t>
      </w:r>
    </w:p>
    <w:p>
      <w:pPr>
        <w:spacing w:after="60"/>
        <w:ind w:firstLine="567"/>
        <w:jc w:val="both"/>
      </w:pPr>
      <w:r>
        <w:rPr>
          <w:rFonts w:ascii="Arial" w:cs="Arial" w:eastAsia="Arial" w:hAnsi="Arial"/>
          <w:sz w:val="24"/>
          <w:szCs w:val="24"/>
        </w:rPr>
        <w:t xml:space="preserve">- семейный детский дом;</w:t>
      </w:r>
    </w:p>
    <w:p>
      <w:pPr>
        <w:spacing w:after="60"/>
        <w:ind w:firstLine="567"/>
        <w:jc w:val="both"/>
      </w:pPr>
      <w:r>
        <w:rPr>
          <w:rFonts w:ascii="Arial" w:cs="Arial" w:eastAsia="Arial" w:hAnsi="Arial"/>
          <w:sz w:val="24"/>
          <w:szCs w:val="24"/>
        </w:rPr>
        <w:t xml:space="preserve">3) детские учреждения интернатного типа, независимо от формы собственности, оказывающие услуги детям, находящимся в трудной жизненной ситуации, и предназначенные для круглосуточного пребывания детей.</w:t>
      </w:r>
    </w:p>
    <w:p>
      <w:pPr>
        <w:spacing w:after="200" w:before="200"/>
        <w:jc w:val="center"/>
      </w:pPr>
      <w:r>
        <w:rPr>
          <w:rFonts w:ascii="Arial" w:cs="Arial" w:eastAsia="Arial" w:hAnsi="Arial"/>
          <w:b/>
          <w:bCs/>
          <w:sz w:val="32"/>
          <w:szCs w:val="32"/>
        </w:rPr>
        <w:t xml:space="preserve">Глава 9. Применение тарифов на электрическую энергию для группы "Религиозные организации"</w:t>
      </w:r>
    </w:p>
    <w:p>
      <w:pPr>
        <w:spacing w:after="60"/>
        <w:ind w:firstLine="567"/>
        <w:jc w:val="both"/>
      </w:pPr>
      <w:r>
        <w:rPr>
          <w:rFonts w:ascii="Arial" w:cs="Arial" w:eastAsia="Arial" w:hAnsi="Arial"/>
          <w:sz w:val="24"/>
          <w:szCs w:val="24"/>
        </w:rPr>
        <w:t xml:space="preserve">46. Отпуск электрической энергии потребителям группы "Религиозные организации"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47. Плата потребителями данной группы за потребленную электроэнергию производится по тарифу, указанному в пункте 5 </w:t>
      </w:r>
      <w:hyperlink w:history="1" r:id="rId-bi7vwzee9wjywe4d2zd5">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48. К потребителям группы "Религиозные организации" относятся: религиозные общества, центры, религиозные учебные заведения, мечети, церкви, синагоги, молитвенные дома, монастыри и другие организации, зарегистрированные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10. Применение тарифов на электрическую энергию для группы "Бюджетные потребители (потребители, финансируемые из республиканского и/или местного бюджета)"</w:t>
      </w:r>
    </w:p>
    <w:p>
      <w:pPr>
        <w:spacing w:after="60"/>
        <w:ind w:firstLine="567"/>
        <w:jc w:val="both"/>
      </w:pPr>
      <w:r>
        <w:rPr>
          <w:rFonts w:ascii="Arial" w:cs="Arial" w:eastAsia="Arial" w:hAnsi="Arial"/>
          <w:sz w:val="24"/>
          <w:szCs w:val="24"/>
        </w:rPr>
        <w:t xml:space="preserve">49. Отпуск электрической энергии группе "Бюджетные потребители (потребители, финансируемые из республиканского и/или местного бюджета)"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50. Плата потребителями данной группы за потребленную электроэнергию производится по тарифу, указанному в пункте 6 </w:t>
      </w:r>
      <w:hyperlink w:history="1" r:id="rIdfvqzllkcovhbgzf-uwhg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51. При наличии у бюджетного потребителя общежития и подведомственных жилых домов, жилых домов и общежития казарменного и военно-служебного назначения с отдельным от основного потребителя прибором учета плата за электроэнергию, потребленную такими общежитиями и подведомственными домами, производится по тарифу для группы "Население".</w:t>
      </w:r>
    </w:p>
    <w:p>
      <w:pPr>
        <w:spacing w:after="60"/>
        <w:ind w:firstLine="567"/>
        <w:jc w:val="both"/>
      </w:pPr>
      <w:r>
        <w:rPr>
          <w:rFonts w:ascii="Arial" w:cs="Arial" w:eastAsia="Arial" w:hAnsi="Arial"/>
          <w:sz w:val="24"/>
          <w:szCs w:val="24"/>
        </w:rPr>
        <w:t xml:space="preserve">52. При наличии у бюджетного потребителя насосных станций с отдельным от основного потребителя прибором учета, плата за электроэнергию, потребленную такими насосными станциями, производится по тарифу для группы "Насосные станции".</w:t>
      </w:r>
    </w:p>
    <w:p>
      <w:pPr>
        <w:spacing w:after="60"/>
        <w:ind w:firstLine="567"/>
        <w:jc w:val="both"/>
      </w:pPr>
      <w:r>
        <w:rPr>
          <w:rFonts w:ascii="Arial" w:cs="Arial" w:eastAsia="Arial" w:hAnsi="Arial"/>
          <w:sz w:val="24"/>
          <w:szCs w:val="24"/>
        </w:rPr>
        <w:t xml:space="preserve">53. В случае сдачи бюджетными потребителями в аренду помещений с отдельным от основного потребителя прибором учета хозяйствующим субъектам, не являющимися бюджетными потребителями, плата за электроэнергию такими арендаторами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54. К потребителям, финансируемым из республиканского и/или местного бюджета, относятся:</w:t>
      </w:r>
    </w:p>
    <w:p>
      <w:pPr>
        <w:spacing w:after="60"/>
        <w:ind w:firstLine="567"/>
        <w:jc w:val="both"/>
      </w:pPr>
      <w:r>
        <w:rPr>
          <w:rFonts w:ascii="Arial" w:cs="Arial" w:eastAsia="Arial" w:hAnsi="Arial"/>
          <w:sz w:val="24"/>
          <w:szCs w:val="24"/>
        </w:rPr>
        <w:t xml:space="preserve">1) государственные учреждения;</w:t>
      </w:r>
    </w:p>
    <w:p>
      <w:pPr>
        <w:spacing w:after="60"/>
        <w:ind w:firstLine="567"/>
        <w:jc w:val="both"/>
      </w:pPr>
      <w:r>
        <w:rPr>
          <w:rFonts w:ascii="Arial" w:cs="Arial" w:eastAsia="Arial" w:hAnsi="Arial"/>
          <w:sz w:val="24"/>
          <w:szCs w:val="24"/>
        </w:rPr>
        <w:t xml:space="preserve">2) государственные больницы, поликлиники, профилактории, консультации, родильные дома, молочно-раздаточные пункты детского питания;</w:t>
      </w:r>
    </w:p>
    <w:p>
      <w:pPr>
        <w:spacing w:after="60"/>
        <w:ind w:firstLine="567"/>
        <w:jc w:val="both"/>
      </w:pPr>
      <w:r>
        <w:rPr>
          <w:rFonts w:ascii="Arial" w:cs="Arial" w:eastAsia="Arial" w:hAnsi="Arial"/>
          <w:sz w:val="24"/>
          <w:szCs w:val="24"/>
        </w:rPr>
        <w:t xml:space="preserve">3) государственные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4) государственные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5) государственные киностудии, театры, концертные залы, кинотеатры, цирки и другие зрелищные предприятия;</w:t>
      </w:r>
    </w:p>
    <w:p>
      <w:pPr>
        <w:spacing w:after="60"/>
        <w:ind w:firstLine="567"/>
        <w:jc w:val="both"/>
      </w:pPr>
      <w:r>
        <w:rPr>
          <w:rFonts w:ascii="Arial" w:cs="Arial" w:eastAsia="Arial" w:hAnsi="Arial"/>
          <w:sz w:val="24"/>
          <w:szCs w:val="24"/>
        </w:rPr>
        <w:t xml:space="preserve">6) государственные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7) государственные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8) государственные ботанические сады, зоопарки;</w:t>
      </w:r>
    </w:p>
    <w:p>
      <w:pPr>
        <w:spacing w:after="60"/>
        <w:ind w:firstLine="567"/>
        <w:jc w:val="both"/>
      </w:pPr>
      <w:r>
        <w:rPr>
          <w:rFonts w:ascii="Arial" w:cs="Arial" w:eastAsia="Arial" w:hAnsi="Arial"/>
          <w:sz w:val="24"/>
          <w:szCs w:val="24"/>
        </w:rPr>
        <w:t xml:space="preserve">9) войсковые части со всеми службами, военно-учебные заведения со всеми их службами;</w:t>
      </w:r>
    </w:p>
    <w:p>
      <w:pPr>
        <w:spacing w:after="60"/>
        <w:ind w:firstLine="567"/>
        <w:jc w:val="both"/>
      </w:pPr>
      <w:r>
        <w:rPr>
          <w:rFonts w:ascii="Arial" w:cs="Arial" w:eastAsia="Arial" w:hAnsi="Arial"/>
          <w:sz w:val="24"/>
          <w:szCs w:val="24"/>
        </w:rPr>
        <w:t xml:space="preserve">10) прочие предприятия, учреждения и организации, подведомственные Министерству обороны Кыргызской Республики, Министерству внутренних дел Кыргызской Республики и органам национальной безопасности;</w:t>
      </w:r>
    </w:p>
    <w:p>
      <w:pPr>
        <w:spacing w:after="60"/>
        <w:ind w:firstLine="567"/>
        <w:jc w:val="both"/>
      </w:pPr>
      <w:r>
        <w:rPr>
          <w:rFonts w:ascii="Arial" w:cs="Arial" w:eastAsia="Arial" w:hAnsi="Arial"/>
          <w:sz w:val="24"/>
          <w:szCs w:val="24"/>
        </w:rPr>
        <w:t xml:space="preserve">11) органы судебной власти;</w:t>
      </w:r>
    </w:p>
    <w:p>
      <w:pPr>
        <w:spacing w:after="60"/>
        <w:ind w:firstLine="567"/>
        <w:jc w:val="both"/>
      </w:pPr>
      <w:r>
        <w:rPr>
          <w:rFonts w:ascii="Arial" w:cs="Arial" w:eastAsia="Arial" w:hAnsi="Arial"/>
          <w:sz w:val="24"/>
          <w:szCs w:val="24"/>
        </w:rPr>
        <w:t xml:space="preserve">12) Национальный банк Кыргызской Республики;</w:t>
      </w:r>
    </w:p>
    <w:p>
      <w:pPr>
        <w:spacing w:after="60"/>
        <w:ind w:firstLine="567"/>
        <w:jc w:val="both"/>
      </w:pPr>
      <w:r>
        <w:rPr>
          <w:rFonts w:ascii="Arial" w:cs="Arial" w:eastAsia="Arial" w:hAnsi="Arial"/>
          <w:sz w:val="24"/>
          <w:szCs w:val="24"/>
        </w:rPr>
        <w:t xml:space="preserve">13) любые потребители, которые могут быть отнесены к другим группам, однако полностью финансируются из республиканского и/или местного бюджета, за исключением потребителей группы "Детские учреждения интернатного типа, социальные стационарные и полустационарные учреждения для инвалидов и/или пожилых граждан", также должны быть отнесены к данной группе конечных потребителей.</w:t>
      </w:r>
    </w:p>
    <w:p>
      <w:pPr>
        <w:spacing w:after="200" w:before="200"/>
        <w:jc w:val="center"/>
      </w:pPr>
      <w:r>
        <w:rPr>
          <w:rFonts w:ascii="Arial" w:cs="Arial" w:eastAsia="Arial" w:hAnsi="Arial"/>
          <w:b/>
          <w:bCs/>
          <w:sz w:val="32"/>
          <w:szCs w:val="32"/>
        </w:rPr>
        <w:t xml:space="preserve">Глава 11. Применение тарифов на электрическую энергию, отпускаемую для группы "Сельское хозяйство"</w:t>
      </w:r>
    </w:p>
    <w:p>
      <w:pPr>
        <w:spacing w:after="60"/>
        <w:ind w:firstLine="567"/>
        <w:jc w:val="both"/>
      </w:pPr>
      <w:r>
        <w:rPr>
          <w:rFonts w:ascii="Arial" w:cs="Arial" w:eastAsia="Arial" w:hAnsi="Arial"/>
          <w:sz w:val="24"/>
          <w:szCs w:val="24"/>
        </w:rPr>
        <w:t xml:space="preserve">55. Отпуск электрической энергии потребителям группы "Сельское хозяйство"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56. Плата потребителями группы "Сельское хозяйство" за потребленную электроэнергию производится по тарифу, указанному в пункте 7 </w:t>
      </w:r>
      <w:hyperlink w:history="1" r:id="rIdefgcgjagkojkxejz8fih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57. К потребителям группы "Сельское хозяйство" относятся:</w:t>
      </w:r>
    </w:p>
    <w:p>
      <w:pPr>
        <w:spacing w:after="60"/>
        <w:ind w:firstLine="567"/>
        <w:jc w:val="both"/>
      </w:pPr>
      <w:r>
        <w:rPr>
          <w:rFonts w:ascii="Arial" w:cs="Arial" w:eastAsia="Arial" w:hAnsi="Arial"/>
          <w:sz w:val="24"/>
          <w:szCs w:val="24"/>
        </w:rPr>
        <w:t xml:space="preserve">1) крестьянские и фермерские хозяйства;</w:t>
      </w:r>
    </w:p>
    <w:p>
      <w:pPr>
        <w:spacing w:after="60"/>
        <w:ind w:firstLine="567"/>
        <w:jc w:val="both"/>
      </w:pPr>
      <w:r>
        <w:rPr>
          <w:rFonts w:ascii="Arial" w:cs="Arial" w:eastAsia="Arial" w:hAnsi="Arial"/>
          <w:sz w:val="24"/>
          <w:szCs w:val="24"/>
        </w:rPr>
        <w:t xml:space="preserve">2) животноводческие комплексы, кошары и предприятия по производству сельскохозяйственной продукции;</w:t>
      </w:r>
    </w:p>
    <w:p>
      <w:pPr>
        <w:spacing w:after="60"/>
        <w:ind w:firstLine="567"/>
        <w:jc w:val="both"/>
      </w:pPr>
      <w:r>
        <w:rPr>
          <w:rFonts w:ascii="Arial" w:cs="Arial" w:eastAsia="Arial" w:hAnsi="Arial"/>
          <w:sz w:val="24"/>
          <w:szCs w:val="24"/>
        </w:rPr>
        <w:t xml:space="preserve">3) самостоятельные или состоящие при кооперативных организациях и учреждениях подсобные сельские хозяйства;</w:t>
      </w:r>
    </w:p>
    <w:p>
      <w:pPr>
        <w:spacing w:after="60"/>
        <w:ind w:firstLine="567"/>
        <w:jc w:val="both"/>
      </w:pPr>
      <w:r>
        <w:rPr>
          <w:rFonts w:ascii="Arial" w:cs="Arial" w:eastAsia="Arial" w:hAnsi="Arial"/>
          <w:sz w:val="24"/>
          <w:szCs w:val="24"/>
        </w:rPr>
        <w:t xml:space="preserve">4) тепличные и теплично-парниковые хозяйства;</w:t>
      </w:r>
    </w:p>
    <w:p>
      <w:pPr>
        <w:spacing w:after="60"/>
        <w:ind w:firstLine="567"/>
        <w:jc w:val="both"/>
      </w:pPr>
      <w:r>
        <w:rPr>
          <w:rFonts w:ascii="Arial" w:cs="Arial" w:eastAsia="Arial" w:hAnsi="Arial"/>
          <w:sz w:val="24"/>
          <w:szCs w:val="24"/>
        </w:rPr>
        <w:t xml:space="preserve">5) кормовые и откормочные хозяйства (пункты), кормовые хозяйства 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w:t>
      </w:r>
    </w:p>
    <w:p>
      <w:pPr>
        <w:spacing w:after="60"/>
        <w:ind w:firstLine="567"/>
        <w:jc w:val="both"/>
      </w:pPr>
      <w:r>
        <w:rPr>
          <w:rFonts w:ascii="Arial" w:cs="Arial" w:eastAsia="Arial" w:hAnsi="Arial"/>
          <w:sz w:val="24"/>
          <w:szCs w:val="24"/>
        </w:rPr>
        <w:t xml:space="preserve">6) гренажные заводы, коконосушилки, племенные шелковичные станции;</w:t>
      </w:r>
    </w:p>
    <w:p>
      <w:pPr>
        <w:spacing w:after="60"/>
        <w:ind w:firstLine="567"/>
        <w:jc w:val="both"/>
      </w:pPr>
      <w:r>
        <w:rPr>
          <w:rFonts w:ascii="Arial" w:cs="Arial" w:eastAsia="Arial" w:hAnsi="Arial"/>
          <w:sz w:val="24"/>
          <w:szCs w:val="24"/>
        </w:rPr>
        <w:t xml:space="preserve">7) птицефабрики, инкубаторные птицеводческие станции, племптицезаводы (хозяйства);</w:t>
      </w:r>
    </w:p>
    <w:p>
      <w:pPr>
        <w:spacing w:after="60"/>
        <w:ind w:firstLine="567"/>
        <w:jc w:val="both"/>
      </w:pPr>
      <w:r>
        <w:rPr>
          <w:rFonts w:ascii="Arial" w:cs="Arial" w:eastAsia="Arial" w:hAnsi="Arial"/>
          <w:sz w:val="24"/>
          <w:szCs w:val="24"/>
        </w:rPr>
        <w:t xml:space="preserve">8) рыборазводные заводы (хозяйства), рыбхозы, рыбоводно-мелиоративные станции, рыбопитомники, рыбные пункты;</w:t>
      </w:r>
    </w:p>
    <w:p>
      <w:pPr>
        <w:spacing w:after="60"/>
        <w:ind w:firstLine="567"/>
        <w:jc w:val="both"/>
      </w:pPr>
      <w:r>
        <w:rPr>
          <w:rFonts w:ascii="Arial" w:cs="Arial" w:eastAsia="Arial" w:hAnsi="Arial"/>
          <w:sz w:val="24"/>
          <w:szCs w:val="24"/>
        </w:rPr>
        <w:t xml:space="preserve">9) пчелопитомники и пчелопасеки;</w:t>
      </w:r>
    </w:p>
    <w:p>
      <w:pPr>
        <w:spacing w:after="60"/>
        <w:ind w:firstLine="567"/>
        <w:jc w:val="both"/>
      </w:pPr>
      <w:r>
        <w:rPr>
          <w:rFonts w:ascii="Arial" w:cs="Arial" w:eastAsia="Arial" w:hAnsi="Arial"/>
          <w:sz w:val="24"/>
          <w:szCs w:val="24"/>
        </w:rPr>
        <w:t xml:space="preserve">10) сортоиспытательные участки сельскохозяйственных культур;</w:t>
      </w:r>
    </w:p>
    <w:p>
      <w:pPr>
        <w:spacing w:after="60"/>
        <w:ind w:firstLine="567"/>
        <w:jc w:val="both"/>
      </w:pPr>
      <w:r>
        <w:rPr>
          <w:rFonts w:ascii="Arial" w:cs="Arial" w:eastAsia="Arial" w:hAnsi="Arial"/>
          <w:sz w:val="24"/>
          <w:szCs w:val="24"/>
        </w:rPr>
        <w:t xml:space="preserve">11) сельскохозяйственные предприятия (хозяйства) по выращиванию лекарственного и технического сырья;</w:t>
      </w:r>
    </w:p>
    <w:p>
      <w:pPr>
        <w:spacing w:after="60"/>
        <w:ind w:firstLine="567"/>
        <w:jc w:val="both"/>
      </w:pPr>
      <w:r>
        <w:rPr>
          <w:rFonts w:ascii="Arial" w:cs="Arial" w:eastAsia="Arial" w:hAnsi="Arial"/>
          <w:sz w:val="24"/>
          <w:szCs w:val="24"/>
        </w:rPr>
        <w:t xml:space="preserve">12) станции защиты растений, экспедиции и отряды по борьбе с вредителями и болезнями растений;</w:t>
      </w:r>
    </w:p>
    <w:p>
      <w:pPr>
        <w:spacing w:after="60"/>
        <w:ind w:firstLine="567"/>
        <w:jc w:val="both"/>
      </w:pPr>
      <w:r>
        <w:rPr>
          <w:rFonts w:ascii="Arial" w:cs="Arial" w:eastAsia="Arial" w:hAnsi="Arial"/>
          <w:sz w:val="24"/>
          <w:szCs w:val="24"/>
        </w:rPr>
        <w:t xml:space="preserve">13) биофабрики и биокомбинаты;</w:t>
      </w:r>
    </w:p>
    <w:p>
      <w:pPr>
        <w:spacing w:after="60"/>
        <w:ind w:firstLine="567"/>
        <w:jc w:val="both"/>
      </w:pPr>
      <w:r>
        <w:rPr>
          <w:rFonts w:ascii="Arial" w:cs="Arial" w:eastAsia="Arial" w:hAnsi="Arial"/>
          <w:sz w:val="24"/>
          <w:szCs w:val="24"/>
        </w:rPr>
        <w:t xml:space="preserve">14) лесхозы, лесничества, лесопитомники, заповедники, охотничьи хозяйства, питомники пушных зверей, собак, хозяйства по выращиванию крольчат, звероводческие хозяйства;</w:t>
      </w:r>
    </w:p>
    <w:p>
      <w:pPr>
        <w:spacing w:after="60"/>
        <w:ind w:firstLine="567"/>
        <w:jc w:val="both"/>
      </w:pPr>
      <w:r>
        <w:rPr>
          <w:rFonts w:ascii="Arial" w:cs="Arial" w:eastAsia="Arial" w:hAnsi="Arial"/>
          <w:sz w:val="24"/>
          <w:szCs w:val="24"/>
        </w:rPr>
        <w:t xml:space="preserve">15) ветеринарные лаборатории (участки, пункты), станции по борьбе с болезнями животных, мясомолочные и пищевые контрольные станции;</w:t>
      </w:r>
    </w:p>
    <w:p>
      <w:pPr>
        <w:spacing w:after="60"/>
        <w:ind w:firstLine="567"/>
        <w:jc w:val="both"/>
      </w:pPr>
      <w:r>
        <w:rPr>
          <w:rFonts w:ascii="Arial" w:cs="Arial" w:eastAsia="Arial" w:hAnsi="Arial"/>
          <w:sz w:val="24"/>
          <w:szCs w:val="24"/>
        </w:rPr>
        <w:t xml:space="preserve">16) обводнительные и осушительные системы и их эксплуатационные участки.</w:t>
      </w:r>
    </w:p>
    <w:p>
      <w:pPr>
        <w:spacing w:after="200" w:before="200"/>
        <w:jc w:val="center"/>
      </w:pPr>
      <w:r>
        <w:rPr>
          <w:rFonts w:ascii="Arial" w:cs="Arial" w:eastAsia="Arial" w:hAnsi="Arial"/>
          <w:b/>
          <w:bCs/>
          <w:sz w:val="32"/>
          <w:szCs w:val="32"/>
        </w:rPr>
        <w:t xml:space="preserve">Глава 12. Применение тарифов на электрическую энергию, отпускаемую потребителям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58. Расчет за отпущенную электрическую энергию для группы "Промышленность (промышленные и приравненные к ним потребители)" производится по установленным тарифам.</w:t>
      </w:r>
    </w:p>
    <w:p>
      <w:pPr>
        <w:spacing w:after="60"/>
        <w:ind w:firstLine="567"/>
        <w:jc w:val="both"/>
      </w:pPr>
      <w:r>
        <w:rPr>
          <w:rFonts w:ascii="Arial" w:cs="Arial" w:eastAsia="Arial" w:hAnsi="Arial"/>
          <w:sz w:val="24"/>
          <w:szCs w:val="24"/>
        </w:rPr>
        <w:t xml:space="preserve">59. По этим же тарифам производится расчет за электрическую энергию, расходуемую потребителями группы "Промышленность" 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 и территорий предприятий.</w:t>
      </w:r>
    </w:p>
    <w:p>
      <w:pPr>
        <w:spacing w:after="60"/>
        <w:ind w:firstLine="567"/>
        <w:jc w:val="both"/>
      </w:pPr>
      <w:r>
        <w:rPr>
          <w:rFonts w:ascii="Arial" w:cs="Arial" w:eastAsia="Arial" w:hAnsi="Arial"/>
          <w:sz w:val="24"/>
          <w:szCs w:val="24"/>
        </w:rPr>
        <w:t xml:space="preserve">60. У потребителей группы "Промышленность (промышленные и приравненные к ним потребители)" могут быть здания, помещения и сооружения, не связанные с производством (жилые поселки, отдельные жилые дома, общежития, гостиницы, дома для приезжих, кинотеатры, клубы, дома культуры, больницы, поликлиники, медпункты, бани, сауны, столовые, детские сады, ясли, насосные станции и тому подобное), в том числе находящиеся на одной территории с производством и подключенные от общих электрических сетей. Такие здания и помещения должны быть оснащены отдельными приборами учета. Расчеты за электрическую энергию, расходуемую на освещение и прочие нужды в таких зданиях и помещениях, не связанных с производством, производятся по тарифам, установленным для соответствующих групп потребителей.</w:t>
      </w:r>
    </w:p>
    <w:p>
      <w:pPr>
        <w:spacing w:after="60"/>
        <w:ind w:firstLine="567"/>
        <w:jc w:val="both"/>
      </w:pPr>
      <w:r>
        <w:rPr>
          <w:rFonts w:ascii="Arial" w:cs="Arial" w:eastAsia="Arial" w:hAnsi="Arial"/>
          <w:sz w:val="24"/>
          <w:szCs w:val="24"/>
        </w:rPr>
        <w:t xml:space="preserve">61. Если отдельные цеха или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62. Плата потребителями группы "Промышленность (промышленные и приравненные к ним потребители)" за потребленную электроэнергию производится по тарифу, указанному в пункте 8 </w:t>
      </w:r>
      <w:hyperlink w:history="1" r:id="rIdqut1b4y33qix73y-n5cz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63. К потребителям группы "Промышленность (промышленные и приравненные к ним потребители)" относятся предприятия любой организационной формы и собственности, занимающиеся производством и переработкой продукции, в том числе:</w:t>
      </w:r>
    </w:p>
    <w:p>
      <w:pPr>
        <w:spacing w:after="60"/>
        <w:ind w:firstLine="567"/>
        <w:jc w:val="both"/>
      </w:pPr>
      <w:r>
        <w:rPr>
          <w:rFonts w:ascii="Arial" w:cs="Arial" w:eastAsia="Arial" w:hAnsi="Arial"/>
          <w:sz w:val="24"/>
          <w:szCs w:val="24"/>
        </w:rPr>
        <w:t xml:space="preserve">1) объединения, промышленные предприятия (заводы, в том числе сельскохозяйственные ремонтные предприятия, мастерские по ремонту сельскохозяйственных 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w:t>
      </w:r>
    </w:p>
    <w:p>
      <w:pPr>
        <w:spacing w:after="60"/>
        <w:ind w:firstLine="567"/>
        <w:jc w:val="both"/>
      </w:pPr>
      <w:r>
        <w:rPr>
          <w:rFonts w:ascii="Arial" w:cs="Arial" w:eastAsia="Arial" w:hAnsi="Arial"/>
          <w:sz w:val="24"/>
          <w:szCs w:val="24"/>
        </w:rPr>
        <w:t xml:space="preserve">2) производственные мастерские, типографии, холодильные установки, производственные и ремонтные базы;</w:t>
      </w:r>
    </w:p>
    <w:p>
      <w:pPr>
        <w:spacing w:after="60"/>
        <w:ind w:firstLine="567"/>
        <w:jc w:val="both"/>
      </w:pPr>
      <w:r>
        <w:rPr>
          <w:rFonts w:ascii="Arial" w:cs="Arial" w:eastAsia="Arial" w:hAnsi="Arial"/>
          <w:sz w:val="24"/>
          <w:szCs w:val="24"/>
        </w:rPr>
        <w:t xml:space="preserve">3) предприятия по производству строительных материалов;</w:t>
      </w:r>
    </w:p>
    <w:p>
      <w:pPr>
        <w:spacing w:after="60"/>
        <w:ind w:firstLine="567"/>
        <w:jc w:val="both"/>
      </w:pPr>
      <w:r>
        <w:rPr>
          <w:rFonts w:ascii="Arial" w:cs="Arial" w:eastAsia="Arial" w:hAnsi="Arial"/>
          <w:sz w:val="24"/>
          <w:szCs w:val="24"/>
        </w:rPr>
        <w:t xml:space="preserve">4)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сельскохозяйственные строительные организации;</w:t>
      </w:r>
    </w:p>
    <w:p>
      <w:pPr>
        <w:spacing w:after="60"/>
        <w:ind w:firstLine="567"/>
        <w:jc w:val="both"/>
      </w:pPr>
      <w:r>
        <w:rPr>
          <w:rFonts w:ascii="Arial" w:cs="Arial" w:eastAsia="Arial" w:hAnsi="Arial"/>
          <w:sz w:val="24"/>
          <w:szCs w:val="24"/>
        </w:rPr>
        <w:t xml:space="preserve">5) предприятия железнодорожного, водного, автомобильного, воздушного и городского транспорта (ремонтные и другие заводы, железнодорожные и автобусные депо и парки, сортировочные транспортные объекты, морские и речные порты, перевалочные базы и пункты, автобазы, нефтепроводы, магистральные газопроводы и другие);</w:t>
      </w:r>
    </w:p>
    <w:p>
      <w:pPr>
        <w:spacing w:after="60"/>
        <w:ind w:firstLine="567"/>
        <w:jc w:val="both"/>
      </w:pPr>
      <w:r>
        <w:rPr>
          <w:rFonts w:ascii="Arial" w:cs="Arial" w:eastAsia="Arial" w:hAnsi="Arial"/>
          <w:sz w:val="24"/>
          <w:szCs w:val="24"/>
        </w:rPr>
        <w:t xml:space="preserve">6) предприятия связи (компании кабельного телевидения, теле- и радиокомпании, радиостанции, телевизионные центры, ретрансляторы, телефонные и телеграфные узлы и станции, станции сотовой связи, интернет-провайдеры, почтамты и другие);</w:t>
      </w:r>
    </w:p>
    <w:p>
      <w:pPr>
        <w:spacing w:after="60"/>
        <w:ind w:firstLine="567"/>
        <w:jc w:val="both"/>
      </w:pPr>
      <w:r>
        <w:rPr>
          <w:rFonts w:ascii="Arial" w:cs="Arial" w:eastAsia="Arial" w:hAnsi="Arial"/>
          <w:sz w:val="24"/>
          <w:szCs w:val="24"/>
        </w:rPr>
        <w:t xml:space="preserve">7) предприятия коммунального хозяйства (котельные, предприятия тепловых сетей, предприятия водопроводно-канализационного хозяйства);</w:t>
      </w:r>
    </w:p>
    <w:p>
      <w:pPr>
        <w:spacing w:after="60"/>
        <w:ind w:firstLine="567"/>
        <w:jc w:val="both"/>
      </w:pPr>
      <w:r>
        <w:rPr>
          <w:rFonts w:ascii="Arial" w:cs="Arial" w:eastAsia="Arial" w:hAnsi="Arial"/>
          <w:sz w:val="24"/>
          <w:szCs w:val="24"/>
        </w:rPr>
        <w:t xml:space="preserve">8) предприятия и организации материально-технического снабжения и 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другие);</w:t>
      </w:r>
    </w:p>
    <w:p>
      <w:pPr>
        <w:spacing w:after="60"/>
        <w:ind w:firstLine="567"/>
        <w:jc w:val="both"/>
      </w:pPr>
      <w:r>
        <w:rPr>
          <w:rFonts w:ascii="Arial" w:cs="Arial" w:eastAsia="Arial" w:hAnsi="Arial"/>
          <w:sz w:val="24"/>
          <w:szCs w:val="24"/>
        </w:rPr>
        <w:t xml:space="preserve">9) предприятия по производству молока и молочной продукции, муки и хлеба, в том числе мини-мельницы, маслобойки, мини-пекарни, цеха по производству мороженого;</w:t>
      </w:r>
    </w:p>
    <w:p>
      <w:pPr>
        <w:spacing w:after="60"/>
        <w:ind w:firstLine="567"/>
        <w:jc w:val="both"/>
      </w:pPr>
      <w:r>
        <w:rPr>
          <w:rFonts w:ascii="Arial" w:cs="Arial" w:eastAsia="Arial" w:hAnsi="Arial"/>
          <w:sz w:val="24"/>
          <w:szCs w:val="24"/>
        </w:rPr>
        <w:t xml:space="preserve">10) производство безалкогольных напитков;</w:t>
      </w:r>
    </w:p>
    <w:p>
      <w:pPr>
        <w:spacing w:after="60"/>
        <w:ind w:firstLine="567"/>
        <w:jc w:val="both"/>
      </w:pPr>
      <w:r>
        <w:rPr>
          <w:rFonts w:ascii="Arial" w:cs="Arial" w:eastAsia="Arial" w:hAnsi="Arial"/>
          <w:sz w:val="24"/>
          <w:szCs w:val="24"/>
        </w:rPr>
        <w:t xml:space="preserve">11) предприятия пищевой и легкой промышленности, в том числе кондитерские и швейные цеха;</w:t>
      </w:r>
    </w:p>
    <w:p>
      <w:pPr>
        <w:spacing w:after="60"/>
        <w:ind w:firstLine="567"/>
        <w:jc w:val="both"/>
      </w:pPr>
      <w:r>
        <w:rPr>
          <w:rFonts w:ascii="Arial" w:cs="Arial" w:eastAsia="Arial" w:hAnsi="Arial"/>
          <w:sz w:val="24"/>
          <w:szCs w:val="24"/>
        </w:rPr>
        <w:t xml:space="preserve">12) предприятия по переработке мяса, птицы, рыбы и плодоовощной продукции;</w:t>
      </w:r>
    </w:p>
    <w:p>
      <w:pPr>
        <w:spacing w:after="60"/>
        <w:ind w:firstLine="567"/>
        <w:jc w:val="both"/>
      </w:pPr>
      <w:r>
        <w:rPr>
          <w:rFonts w:ascii="Arial" w:cs="Arial" w:eastAsia="Arial" w:hAnsi="Arial"/>
          <w:sz w:val="24"/>
          <w:szCs w:val="24"/>
        </w:rPr>
        <w:t xml:space="preserve">13) мастерские по обработке кожи, дерева и металла;</w:t>
      </w:r>
    </w:p>
    <w:p>
      <w:pPr>
        <w:spacing w:after="60"/>
        <w:ind w:firstLine="567"/>
        <w:jc w:val="both"/>
      </w:pPr>
      <w:r>
        <w:rPr>
          <w:rFonts w:ascii="Arial" w:cs="Arial" w:eastAsia="Arial" w:hAnsi="Arial"/>
          <w:sz w:val="24"/>
          <w:szCs w:val="24"/>
        </w:rPr>
        <w:t xml:space="preserve">14) производство растительного масла;</w:t>
      </w:r>
    </w:p>
    <w:p>
      <w:pPr>
        <w:spacing w:after="60"/>
        <w:ind w:firstLine="567"/>
        <w:jc w:val="both"/>
      </w:pPr>
      <w:r>
        <w:rPr>
          <w:rFonts w:ascii="Arial" w:cs="Arial" w:eastAsia="Arial" w:hAnsi="Arial"/>
          <w:sz w:val="24"/>
          <w:szCs w:val="24"/>
        </w:rPr>
        <w:t xml:space="preserve">15) ремонтно-механические заводы и другие промышленные предприятия;</w:t>
      </w:r>
    </w:p>
    <w:p>
      <w:pPr>
        <w:spacing w:after="60"/>
        <w:ind w:firstLine="567"/>
        <w:jc w:val="both"/>
      </w:pPr>
      <w:r>
        <w:rPr>
          <w:rFonts w:ascii="Arial" w:cs="Arial" w:eastAsia="Arial" w:hAnsi="Arial"/>
          <w:sz w:val="24"/>
          <w:szCs w:val="24"/>
        </w:rPr>
        <w:t xml:space="preserve">16) склады, базы и цеха промышленных предприятий;</w:t>
      </w:r>
    </w:p>
    <w:p>
      <w:pPr>
        <w:spacing w:after="60"/>
        <w:ind w:firstLine="567"/>
        <w:jc w:val="both"/>
      </w:pPr>
      <w:r>
        <w:rPr>
          <w:rFonts w:ascii="Arial" w:cs="Arial" w:eastAsia="Arial" w:hAnsi="Arial"/>
          <w:sz w:val="24"/>
          <w:szCs w:val="24"/>
        </w:rPr>
        <w:t xml:space="preserve">17) фасовочные и тароремонтные предприятия и организации.</w:t>
      </w:r>
    </w:p>
    <w:p>
      <w:pPr>
        <w:spacing w:after="200" w:before="200"/>
        <w:jc w:val="center"/>
      </w:pPr>
      <w:r>
        <w:rPr>
          <w:rFonts w:ascii="Arial" w:cs="Arial" w:eastAsia="Arial" w:hAnsi="Arial"/>
          <w:b/>
          <w:bCs/>
          <w:sz w:val="32"/>
          <w:szCs w:val="32"/>
        </w:rPr>
        <w:t xml:space="preserve">Глава 13. Применение тарифов на электрическую энергию, отпускаемую группе "Прочие потребители"</w:t>
      </w:r>
    </w:p>
    <w:p>
      <w:pPr>
        <w:spacing w:after="60"/>
        <w:ind w:firstLine="567"/>
        <w:jc w:val="both"/>
      </w:pPr>
      <w:r>
        <w:rPr>
          <w:rFonts w:ascii="Arial" w:cs="Arial" w:eastAsia="Arial" w:hAnsi="Arial"/>
          <w:sz w:val="24"/>
          <w:szCs w:val="24"/>
        </w:rPr>
        <w:t xml:space="preserve">64. Отпуск электрической энергии всем прочим потребителям,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65. Отпуск электрической энергии прочим потребителям, использующим электрическую энергию в банях, саунах, а также для приготовления пищи на стационарных электрических приборах (плиты, печи и другие),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66. Расчет за электрическую энергию, отпущенную прочим потребителям, не относящимся к другим группам, производится по действующим тарифам, независимо от типа ввода и целей использования электроэнергии.</w:t>
      </w:r>
    </w:p>
    <w:p>
      <w:pPr>
        <w:spacing w:after="60"/>
        <w:ind w:firstLine="567"/>
        <w:jc w:val="both"/>
      </w:pPr>
      <w:r>
        <w:rPr>
          <w:rFonts w:ascii="Arial" w:cs="Arial" w:eastAsia="Arial" w:hAnsi="Arial"/>
          <w:sz w:val="24"/>
          <w:szCs w:val="24"/>
        </w:rPr>
        <w:t xml:space="preserve">67. Плата потребителями группы "Прочие потребители" за потребленную электроэнергию производится по тарифу, указанному в пункте 9 </w:t>
      </w:r>
      <w:hyperlink w:history="1" r:id="rId1ymou2zx-onthh0u8mspa">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68. К группе "Прочие потребители" относятся:</w:t>
      </w:r>
    </w:p>
    <w:p>
      <w:pPr>
        <w:spacing w:after="60"/>
        <w:ind w:firstLine="567"/>
        <w:jc w:val="both"/>
      </w:pPr>
      <w:r>
        <w:rPr>
          <w:rFonts w:ascii="Arial" w:cs="Arial" w:eastAsia="Arial" w:hAnsi="Arial"/>
          <w:sz w:val="24"/>
          <w:szCs w:val="24"/>
        </w:rPr>
        <w:t xml:space="preserve">1) средства массовой информации (редакции газет, журналов и другие);</w:t>
      </w:r>
    </w:p>
    <w:p>
      <w:pPr>
        <w:spacing w:after="60"/>
        <w:ind w:firstLine="567"/>
        <w:jc w:val="both"/>
      </w:pPr>
      <w:r>
        <w:rPr>
          <w:rFonts w:ascii="Arial" w:cs="Arial" w:eastAsia="Arial" w:hAnsi="Arial"/>
          <w:sz w:val="24"/>
          <w:szCs w:val="24"/>
        </w:rPr>
        <w:t xml:space="preserve">2) рекламные агентства, агентства недвижимости;</w:t>
      </w:r>
    </w:p>
    <w:p>
      <w:pPr>
        <w:spacing w:after="60"/>
        <w:ind w:firstLine="567"/>
        <w:jc w:val="both"/>
      </w:pPr>
      <w:r>
        <w:rPr>
          <w:rFonts w:ascii="Arial" w:cs="Arial" w:eastAsia="Arial" w:hAnsi="Arial"/>
          <w:sz w:val="24"/>
          <w:szCs w:val="24"/>
        </w:rPr>
        <w:t xml:space="preserve">3) банки, ломбарды, микрокредитные организации и другие финансово-кредитные учреждения, за исключением Национального банка Кыргызской Республики;</w:t>
      </w:r>
    </w:p>
    <w:p>
      <w:pPr>
        <w:spacing w:after="60"/>
        <w:ind w:firstLine="567"/>
        <w:jc w:val="both"/>
      </w:pPr>
      <w:r>
        <w:rPr>
          <w:rFonts w:ascii="Arial" w:cs="Arial" w:eastAsia="Arial" w:hAnsi="Arial"/>
          <w:sz w:val="24"/>
          <w:szCs w:val="24"/>
        </w:rPr>
        <w:t xml:space="preserve">4) склады и базы сбытовых и снабженческих организаций по оптовым поставкам оборудования, машин, приборов,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w:t>
      </w:r>
    </w:p>
    <w:p>
      <w:pPr>
        <w:spacing w:after="60"/>
        <w:ind w:firstLine="567"/>
        <w:jc w:val="both"/>
      </w:pPr>
      <w:r>
        <w:rPr>
          <w:rFonts w:ascii="Arial" w:cs="Arial" w:eastAsia="Arial" w:hAnsi="Arial"/>
          <w:sz w:val="24"/>
          <w:szCs w:val="24"/>
        </w:rPr>
        <w:t xml:space="preserve">5) общественные, правозащитные организации и объединения;</w:t>
      </w:r>
    </w:p>
    <w:p>
      <w:pPr>
        <w:spacing w:after="60"/>
        <w:ind w:firstLine="567"/>
        <w:jc w:val="both"/>
      </w:pPr>
      <w:r>
        <w:rPr>
          <w:rFonts w:ascii="Arial" w:cs="Arial" w:eastAsia="Arial" w:hAnsi="Arial"/>
          <w:sz w:val="24"/>
          <w:szCs w:val="24"/>
        </w:rPr>
        <w:t xml:space="preserve">6) жилищно-эксплуатационные управления, ТСЖ, ЖСК и другие юридические формы объединения жильцов (включая собственные нужды);</w:t>
      </w:r>
    </w:p>
    <w:p>
      <w:pPr>
        <w:spacing w:after="60"/>
        <w:ind w:firstLine="567"/>
        <w:jc w:val="both"/>
      </w:pPr>
      <w:r>
        <w:rPr>
          <w:rFonts w:ascii="Arial" w:cs="Arial" w:eastAsia="Arial" w:hAnsi="Arial"/>
          <w:sz w:val="24"/>
          <w:szCs w:val="24"/>
        </w:rPr>
        <w:t xml:space="preserve">7) научно-исследовательские, проектные и изыскательские институты, вычислительные центры, лаборатории, конструкторские бюро, другие научно-исследовательские и проектно-изыскательские учреждения;</w:t>
      </w:r>
    </w:p>
    <w:p>
      <w:pPr>
        <w:spacing w:after="60"/>
        <w:ind w:firstLine="567"/>
        <w:jc w:val="both"/>
      </w:pPr>
      <w:r>
        <w:rPr>
          <w:rFonts w:ascii="Arial" w:cs="Arial" w:eastAsia="Arial" w:hAnsi="Arial"/>
          <w:sz w:val="24"/>
          <w:szCs w:val="24"/>
        </w:rPr>
        <w:t xml:space="preserve">8) железнодорожные вокзалы, пристани, автовокзалы, аэровокзалы, аэродромы, аэропорты, автобусные станции;</w:t>
      </w:r>
    </w:p>
    <w:p>
      <w:pPr>
        <w:spacing w:after="60"/>
        <w:ind w:firstLine="567"/>
        <w:jc w:val="both"/>
      </w:pPr>
      <w:r>
        <w:rPr>
          <w:rFonts w:ascii="Arial" w:cs="Arial" w:eastAsia="Arial" w:hAnsi="Arial"/>
          <w:sz w:val="24"/>
          <w:szCs w:val="24"/>
        </w:rPr>
        <w:t xml:space="preserve">9) гаражи и гаражно-строительные кооперативы для личных автомашин, автопарки, автостоянки, автозаправочные станции, авторемонтные мастерские, станции технического обслуживания, автомойки;</w:t>
      </w:r>
    </w:p>
    <w:p>
      <w:pPr>
        <w:spacing w:after="60"/>
        <w:ind w:firstLine="567"/>
        <w:jc w:val="both"/>
      </w:pPr>
      <w:r>
        <w:rPr>
          <w:rFonts w:ascii="Arial" w:cs="Arial" w:eastAsia="Arial" w:hAnsi="Arial"/>
          <w:sz w:val="24"/>
          <w:szCs w:val="24"/>
        </w:rPr>
        <w:t xml:space="preserve">10) все предприятия бытового обслуживания населения, парикмахерские, фотоателье, ателье и мастерские по ремонту одежды, обуви, предметов культурно-бытового назначения и хозяйственного обихода, химчистки и прачечные, прокатные пункты, бани, сауны, душевые и другие предприятия бытового обслуживания;</w:t>
      </w:r>
    </w:p>
    <w:p>
      <w:pPr>
        <w:spacing w:after="60"/>
        <w:ind w:firstLine="567"/>
        <w:jc w:val="both"/>
      </w:pPr>
      <w:r>
        <w:rPr>
          <w:rFonts w:ascii="Arial" w:cs="Arial" w:eastAsia="Arial" w:hAnsi="Arial"/>
          <w:sz w:val="24"/>
          <w:szCs w:val="24"/>
        </w:rPr>
        <w:t xml:space="preserve">11) частные: больницы, поликлиники, профилактории, консультации, родильные дома, санатории и другие лечебные заведения;</w:t>
      </w:r>
    </w:p>
    <w:p>
      <w:pPr>
        <w:spacing w:after="60"/>
        <w:ind w:firstLine="567"/>
        <w:jc w:val="both"/>
      </w:pPr>
      <w:r>
        <w:rPr>
          <w:rFonts w:ascii="Arial" w:cs="Arial" w:eastAsia="Arial" w:hAnsi="Arial"/>
          <w:sz w:val="24"/>
          <w:szCs w:val="24"/>
        </w:rPr>
        <w:t xml:space="preserve">12) частные: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13) частные: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14) гостиницы, дома отдыха, пансионаты, мотели, кемпинги, туристические базы и спортивно-оздоровительные комплексы, гостевые дома, хостелы;</w:t>
      </w:r>
    </w:p>
    <w:p>
      <w:pPr>
        <w:spacing w:after="60"/>
        <w:ind w:firstLine="567"/>
        <w:jc w:val="both"/>
      </w:pPr>
      <w:r>
        <w:rPr>
          <w:rFonts w:ascii="Arial" w:cs="Arial" w:eastAsia="Arial" w:hAnsi="Arial"/>
          <w:sz w:val="24"/>
          <w:szCs w:val="24"/>
        </w:rPr>
        <w:t xml:space="preserve">15) частные: киностудии, театры, концертные залы, кинотеатры, цирки и другие зрелищные предприятия;</w:t>
      </w:r>
    </w:p>
    <w:p>
      <w:pPr>
        <w:spacing w:after="60"/>
        <w:ind w:firstLine="567"/>
        <w:jc w:val="both"/>
      </w:pPr>
      <w:r>
        <w:rPr>
          <w:rFonts w:ascii="Arial" w:cs="Arial" w:eastAsia="Arial" w:hAnsi="Arial"/>
          <w:sz w:val="24"/>
          <w:szCs w:val="24"/>
        </w:rPr>
        <w:t xml:space="preserve">16) частные: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17) частные: парки культуры и отдыха, сады, ботанические сады, зоопарки;</w:t>
      </w:r>
    </w:p>
    <w:p>
      <w:pPr>
        <w:spacing w:after="60"/>
        <w:ind w:firstLine="567"/>
        <w:jc w:val="both"/>
      </w:pPr>
      <w:r>
        <w:rPr>
          <w:rFonts w:ascii="Arial" w:cs="Arial" w:eastAsia="Arial" w:hAnsi="Arial"/>
          <w:sz w:val="24"/>
          <w:szCs w:val="24"/>
        </w:rPr>
        <w:t xml:space="preserve">18) частные: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19) магазины всех видов, бутики, салоны, торговые комплексы, аптеки, обменные бюро, офисные центры;</w:t>
      </w:r>
    </w:p>
    <w:p>
      <w:pPr>
        <w:spacing w:after="60"/>
        <w:ind w:firstLine="567"/>
        <w:jc w:val="both"/>
      </w:pPr>
      <w:r>
        <w:rPr>
          <w:rFonts w:ascii="Arial" w:cs="Arial" w:eastAsia="Arial" w:hAnsi="Arial"/>
          <w:sz w:val="24"/>
          <w:szCs w:val="24"/>
        </w:rPr>
        <w:t xml:space="preserve">20) ларьки, палатки, автолавки, рынки, ярмарки и базары, сезонные торговые павильоны, киоски всех видов, домовые лавки;</w:t>
      </w:r>
    </w:p>
    <w:p>
      <w:pPr>
        <w:spacing w:after="60"/>
        <w:ind w:firstLine="567"/>
        <w:jc w:val="both"/>
      </w:pPr>
      <w:r>
        <w:rPr>
          <w:rFonts w:ascii="Arial" w:cs="Arial" w:eastAsia="Arial" w:hAnsi="Arial"/>
          <w:sz w:val="24"/>
          <w:szCs w:val="24"/>
        </w:rPr>
        <w:t xml:space="preserve">21) торговые склады, базы мелкой розницы, оптовые базы торговых организаций, овощехранилища, овощные и плодоовощные базы;</w:t>
      </w:r>
    </w:p>
    <w:p>
      <w:pPr>
        <w:spacing w:after="60"/>
        <w:ind w:firstLine="567"/>
        <w:jc w:val="both"/>
      </w:pPr>
      <w:r>
        <w:rPr>
          <w:rFonts w:ascii="Arial" w:cs="Arial" w:eastAsia="Arial" w:hAnsi="Arial"/>
          <w:sz w:val="24"/>
          <w:szCs w:val="24"/>
        </w:rPr>
        <w:t xml:space="preserve">22) столовые, закусочные, кафе, бары, чайные, рестораны, буфеты, фабрики-кухни, комбинаты полуфабрикатов, домовые кухни;</w:t>
      </w:r>
    </w:p>
    <w:p>
      <w:pPr>
        <w:spacing w:after="60"/>
        <w:ind w:firstLine="567"/>
        <w:jc w:val="both"/>
      </w:pPr>
      <w:r>
        <w:rPr>
          <w:rFonts w:ascii="Arial" w:cs="Arial" w:eastAsia="Arial" w:hAnsi="Arial"/>
          <w:sz w:val="24"/>
          <w:szCs w:val="24"/>
        </w:rPr>
        <w:t xml:space="preserve">23) залы игровых автоматов, интернет-кафе и другие развлекательные заведения;</w:t>
      </w:r>
    </w:p>
    <w:p>
      <w:pPr>
        <w:spacing w:after="60"/>
        <w:ind w:firstLine="567"/>
        <w:jc w:val="both"/>
      </w:pPr>
      <w:r>
        <w:rPr>
          <w:rFonts w:ascii="Arial" w:cs="Arial" w:eastAsia="Arial" w:hAnsi="Arial"/>
          <w:sz w:val="24"/>
          <w:szCs w:val="24"/>
        </w:rPr>
        <w:t xml:space="preserve">24) предприятия розничной торговой сети и общественного питания, независимо от формы собственности, непосредственно производящие продажу продовольственных, промышленных товаров, полуфабрикатов, а также отпуск блюд и напитков;</w:t>
      </w:r>
    </w:p>
    <w:p>
      <w:pPr>
        <w:spacing w:after="60"/>
        <w:ind w:firstLine="567"/>
        <w:jc w:val="both"/>
      </w:pPr>
      <w:r>
        <w:rPr>
          <w:rFonts w:ascii="Arial" w:cs="Arial" w:eastAsia="Arial" w:hAnsi="Arial"/>
          <w:sz w:val="24"/>
          <w:szCs w:val="24"/>
        </w:rPr>
        <w:t xml:space="preserve">25) другие потребители, не входящие ни в одну из вышеуказанных тарифных групп.</w:t>
      </w:r>
    </w:p>
    <w:p>
      <w:pPr>
        <w:spacing w:after="200" w:before="200"/>
        <w:jc w:val="center"/>
      </w:pPr>
      <w:r>
        <w:rPr>
          <w:rFonts w:ascii="Arial" w:cs="Arial" w:eastAsia="Arial" w:hAnsi="Arial"/>
          <w:b/>
          <w:bCs/>
          <w:sz w:val="32"/>
          <w:szCs w:val="32"/>
        </w:rPr>
        <w:t xml:space="preserve">Глава 14. Применение тарифов на электрическую энергию, отпускаемую группе "Майнинг (криптовалюта)"</w:t>
      </w:r>
    </w:p>
    <w:p>
      <w:pPr>
        <w:spacing w:after="60"/>
        <w:ind w:firstLine="567"/>
        <w:jc w:val="both"/>
      </w:pPr>
      <w:r>
        <w:rPr>
          <w:rFonts w:ascii="Arial" w:cs="Arial" w:eastAsia="Arial" w:hAnsi="Arial"/>
          <w:sz w:val="24"/>
          <w:szCs w:val="24"/>
        </w:rPr>
        <w:t xml:space="preserve">69. Отпуск электрической энергии группе "Майнинг (криптовалюта)",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70. Отнесение потребителей электроэнергии в группу "Майнинг (криптовалюта)"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71. На период строительства объекта для целей майнинга (криптовалюта) применяется тариф на электроэнергию для группы потребителей "Промышленность".</w:t>
      </w:r>
    </w:p>
    <w:p>
      <w:pPr>
        <w:spacing w:after="60"/>
        <w:ind w:firstLine="567"/>
        <w:jc w:val="both"/>
      </w:pPr>
      <w:r>
        <w:rPr>
          <w:rFonts w:ascii="Arial" w:cs="Arial" w:eastAsia="Arial" w:hAnsi="Arial"/>
          <w:sz w:val="24"/>
          <w:szCs w:val="24"/>
        </w:rPr>
        <w:t xml:space="preserve">72. Тариф для группы потребителей "Майнинг (криптовалюта)" при потреблении электроэнергии принимается в размере, указанном в пункте 10 </w:t>
      </w:r>
      <w:hyperlink w:history="1" r:id="rId3nq3iwjmdbkf2rqw9ai7y">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200" w:before="200"/>
        <w:jc w:val="center"/>
      </w:pPr>
      <w:r>
        <w:rPr>
          <w:rFonts w:ascii="Arial" w:cs="Arial" w:eastAsia="Arial" w:hAnsi="Arial"/>
          <w:b/>
          <w:bCs/>
          <w:sz w:val="32"/>
          <w:szCs w:val="32"/>
        </w:rPr>
        <w:t xml:space="preserve">Глава 15. Применение тарифов на электрическую энергию, отпускаемую группе "Золоторудная промышленность"</w:t>
      </w:r>
    </w:p>
    <w:p>
      <w:pPr>
        <w:spacing w:after="60"/>
        <w:ind w:firstLine="567"/>
        <w:jc w:val="both"/>
      </w:pPr>
      <w:r>
        <w:rPr>
          <w:rFonts w:ascii="Arial" w:cs="Arial" w:eastAsia="Arial" w:hAnsi="Arial"/>
          <w:sz w:val="24"/>
          <w:szCs w:val="24"/>
        </w:rPr>
        <w:t xml:space="preserve">73. Отпуск электрической энергии группе "Золоторудная промышленность" и вспомогательным объектам,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74. Отнесение потребителей электроэнергии в группу "Золоторудная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75. Тариф для группы потребителей "Золоторудная промышленность" при потреблении электроэнергии принимается в размере, указанном в пункте 11 </w:t>
      </w:r>
      <w:hyperlink w:history="1" r:id="rIdrw5ukd-abqjv-vqx78jg0">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76. К группе "Золоторудная промышленность" относятся:</w:t>
      </w:r>
    </w:p>
    <w:p>
      <w:pPr>
        <w:spacing w:after="60"/>
        <w:ind w:firstLine="567"/>
        <w:jc w:val="both"/>
      </w:pPr>
      <w:r>
        <w:rPr>
          <w:rFonts w:ascii="Arial" w:cs="Arial" w:eastAsia="Arial" w:hAnsi="Arial"/>
          <w:sz w:val="24"/>
          <w:szCs w:val="24"/>
        </w:rPr>
        <w:t xml:space="preserve">1) предприятия, добывающие золотоносные руды;</w:t>
      </w:r>
    </w:p>
    <w:p>
      <w:pPr>
        <w:spacing w:after="60"/>
        <w:ind w:firstLine="567"/>
        <w:jc w:val="both"/>
      </w:pPr>
      <w:r>
        <w:rPr>
          <w:rFonts w:ascii="Arial" w:cs="Arial" w:eastAsia="Arial" w:hAnsi="Arial"/>
          <w:sz w:val="24"/>
          <w:szCs w:val="24"/>
        </w:rPr>
        <w:t xml:space="preserve">2) золоторудные комбинаты;</w:t>
      </w:r>
    </w:p>
    <w:p>
      <w:pPr>
        <w:spacing w:after="60"/>
        <w:ind w:firstLine="567"/>
        <w:jc w:val="both"/>
      </w:pPr>
      <w:r>
        <w:rPr>
          <w:rFonts w:ascii="Arial" w:cs="Arial" w:eastAsia="Arial" w:hAnsi="Arial"/>
          <w:sz w:val="24"/>
          <w:szCs w:val="24"/>
        </w:rPr>
        <w:t xml:space="preserve">3) золотоперерабатывающие комбинаты;</w:t>
      </w:r>
    </w:p>
    <w:p>
      <w:pPr>
        <w:spacing w:after="60"/>
        <w:ind w:firstLine="567"/>
        <w:jc w:val="both"/>
      </w:pPr>
      <w:r>
        <w:rPr>
          <w:rFonts w:ascii="Arial" w:cs="Arial" w:eastAsia="Arial" w:hAnsi="Arial"/>
          <w:sz w:val="24"/>
          <w:szCs w:val="24"/>
        </w:rPr>
        <w:t xml:space="preserve">4) аффинажные предприятия;</w:t>
      </w:r>
    </w:p>
    <w:p>
      <w:pPr>
        <w:spacing w:after="60"/>
        <w:ind w:firstLine="567"/>
        <w:jc w:val="both"/>
      </w:pPr>
      <w:r>
        <w:rPr>
          <w:rFonts w:ascii="Arial" w:cs="Arial" w:eastAsia="Arial" w:hAnsi="Arial"/>
          <w:sz w:val="24"/>
          <w:szCs w:val="24"/>
        </w:rPr>
        <w:t xml:space="preserve">5) обогатительные фабрики.</w:t>
      </w:r>
    </w:p>
    <w:p>
      <w:pPr>
        <w:spacing w:after="200" w:before="200"/>
        <w:jc w:val="center"/>
      </w:pPr>
      <w:r>
        <w:rPr>
          <w:rFonts w:ascii="Arial" w:cs="Arial" w:eastAsia="Arial" w:hAnsi="Arial"/>
          <w:b/>
          <w:bCs/>
          <w:sz w:val="32"/>
          <w:szCs w:val="32"/>
        </w:rPr>
        <w:t xml:space="preserve">Глава 16. Применение тарифов на электрическую энергию, отпускаемую группе "Литейное производство"</w:t>
      </w:r>
    </w:p>
    <w:p>
      <w:pPr>
        <w:spacing w:after="60"/>
        <w:ind w:firstLine="567"/>
        <w:jc w:val="both"/>
      </w:pPr>
      <w:r>
        <w:rPr>
          <w:rFonts w:ascii="Arial" w:cs="Arial" w:eastAsia="Arial" w:hAnsi="Arial"/>
          <w:sz w:val="24"/>
          <w:szCs w:val="24"/>
        </w:rPr>
        <w:t xml:space="preserve">77. Отпуск электрической энергии группе "Литейное производство",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78. Отнесение потребителей электроэнергии в группу "Литейное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79. Тариф для группы потребителей "Литейное производство" при потреблении электроэнергии принимается в размере, указанном в пункте 12 </w:t>
      </w:r>
      <w:hyperlink w:history="1" r:id="rIdp9vtn757wbp4g8vkk6wb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80. К группе "Литейное производство" относятся:</w:t>
      </w:r>
    </w:p>
    <w:p>
      <w:pPr>
        <w:spacing w:after="60"/>
        <w:ind w:firstLine="567"/>
        <w:jc w:val="both"/>
      </w:pPr>
      <w:r>
        <w:rPr>
          <w:rFonts w:ascii="Arial" w:cs="Arial" w:eastAsia="Arial" w:hAnsi="Arial"/>
          <w:sz w:val="24"/>
          <w:szCs w:val="24"/>
        </w:rPr>
        <w:t xml:space="preserve">1) производство металлической литейной продукции;</w:t>
      </w:r>
    </w:p>
    <w:p>
      <w:pPr>
        <w:spacing w:after="60"/>
        <w:ind w:firstLine="567"/>
        <w:jc w:val="both"/>
      </w:pPr>
      <w:r>
        <w:rPr>
          <w:rFonts w:ascii="Arial" w:cs="Arial" w:eastAsia="Arial" w:hAnsi="Arial"/>
          <w:sz w:val="24"/>
          <w:szCs w:val="24"/>
        </w:rPr>
        <w:t xml:space="preserve">2) производство металлической плавильной продукции;</w:t>
      </w:r>
    </w:p>
    <w:p>
      <w:pPr>
        <w:spacing w:after="60"/>
        <w:ind w:firstLine="567"/>
        <w:jc w:val="both"/>
      </w:pPr>
      <w:r>
        <w:rPr>
          <w:rFonts w:ascii="Arial" w:cs="Arial" w:eastAsia="Arial" w:hAnsi="Arial"/>
          <w:sz w:val="24"/>
          <w:szCs w:val="24"/>
        </w:rPr>
        <w:t xml:space="preserve">3) производство по металлопрокату (горячему и холодному).</w:t>
      </w:r>
    </w:p>
    <w:p>
      <w:pPr>
        <w:spacing w:after="60"/>
        <w:ind w:firstLine="567"/>
        <w:jc w:val="both"/>
      </w:pPr>
      <w:r>
        <w:rPr>
          <w:rFonts w:ascii="Arial" w:cs="Arial" w:eastAsia="Arial" w:hAnsi="Arial"/>
          <w:sz w:val="24"/>
          <w:szCs w:val="24"/>
        </w:rPr>
        <w:t xml:space="preserve">81. При наличии отдельных приборов учета электроэнергии применение тарифа не распространяется на другие структурные производственные подразделения предприятий, не задействованных в литейном производстве.</w:t>
      </w:r>
    </w:p>
    <w:p>
      <w:pPr>
        <w:spacing w:after="60"/>
        <w:ind w:firstLine="567"/>
        <w:jc w:val="both"/>
      </w:pPr>
      <w:r>
        <w:rPr>
          <w:rFonts w:ascii="Arial" w:cs="Arial" w:eastAsia="Arial" w:hAnsi="Arial"/>
          <w:sz w:val="24"/>
          <w:szCs w:val="24"/>
        </w:rPr>
        <w:t xml:space="preserve">82. На период строительства объекта "Литейное производство" применяется тариф на электроэнергию для группы потребителей "Промышленность".</w:t>
      </w:r>
    </w:p>
    <w:p>
      <w:pPr>
        <w:spacing w:after="200" w:before="200"/>
        <w:jc w:val="center"/>
      </w:pPr>
      <w:r>
        <w:rPr>
          <w:rFonts w:ascii="Arial" w:cs="Arial" w:eastAsia="Arial" w:hAnsi="Arial"/>
          <w:b/>
          <w:bCs/>
          <w:sz w:val="32"/>
          <w:szCs w:val="32"/>
        </w:rPr>
        <w:t xml:space="preserve">Глава 17. Применение тарифов на электрическую энергию, отпускаемую группе "Алкогольная промышленность"</w:t>
      </w:r>
    </w:p>
    <w:p>
      <w:pPr>
        <w:spacing w:after="60"/>
        <w:ind w:firstLine="567"/>
        <w:jc w:val="both"/>
      </w:pPr>
      <w:r>
        <w:rPr>
          <w:rFonts w:ascii="Arial" w:cs="Arial" w:eastAsia="Arial" w:hAnsi="Arial"/>
          <w:sz w:val="24"/>
          <w:szCs w:val="24"/>
        </w:rPr>
        <w:t xml:space="preserve">83. Отпуск электрической энергии группе "Алкогольная промышленность",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84. Отнесение потребителей электроэнергии в группу "Алкогольная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85. Тариф для группы потребителей "Алкогольная промышленность" при потреблении электроэнергии принимается в размере, указанном в пункте 13 </w:t>
      </w:r>
      <w:hyperlink w:history="1" r:id="rIdq3pgnt1aiduraegnqrgvj">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86. К группе "Алкогольная промышленность" относятся предприятия и объекты по производству следующих видов алкогольной продукции:</w:t>
      </w:r>
    </w:p>
    <w:p>
      <w:pPr>
        <w:spacing w:after="60"/>
        <w:ind w:firstLine="567"/>
        <w:jc w:val="both"/>
      </w:pPr>
      <w:r>
        <w:rPr>
          <w:rFonts w:ascii="Arial" w:cs="Arial" w:eastAsia="Arial" w:hAnsi="Arial"/>
          <w:sz w:val="24"/>
          <w:szCs w:val="24"/>
        </w:rPr>
        <w:t xml:space="preserve">1) водки и водки особые;</w:t>
      </w:r>
    </w:p>
    <w:p>
      <w:pPr>
        <w:spacing w:after="60"/>
        <w:ind w:firstLine="567"/>
        <w:jc w:val="both"/>
      </w:pPr>
      <w:r>
        <w:rPr>
          <w:rFonts w:ascii="Arial" w:cs="Arial" w:eastAsia="Arial" w:hAnsi="Arial"/>
          <w:sz w:val="24"/>
          <w:szCs w:val="24"/>
        </w:rPr>
        <w:t xml:space="preserve">2) ликеро-водочные изделия;</w:t>
      </w:r>
    </w:p>
    <w:p>
      <w:pPr>
        <w:spacing w:after="60"/>
        <w:ind w:firstLine="567"/>
        <w:jc w:val="both"/>
      </w:pPr>
      <w:r>
        <w:rPr>
          <w:rFonts w:ascii="Arial" w:cs="Arial" w:eastAsia="Arial" w:hAnsi="Arial"/>
          <w:sz w:val="24"/>
          <w:szCs w:val="24"/>
        </w:rPr>
        <w:t xml:space="preserve">3) виноматериалы;</w:t>
      </w:r>
    </w:p>
    <w:p>
      <w:pPr>
        <w:spacing w:after="60"/>
        <w:ind w:firstLine="567"/>
        <w:jc w:val="both"/>
      </w:pPr>
      <w:r>
        <w:rPr>
          <w:rFonts w:ascii="Arial" w:cs="Arial" w:eastAsia="Arial" w:hAnsi="Arial"/>
          <w:sz w:val="24"/>
          <w:szCs w:val="24"/>
        </w:rPr>
        <w:t xml:space="preserve">4) вина;</w:t>
      </w:r>
    </w:p>
    <w:p>
      <w:pPr>
        <w:spacing w:after="60"/>
        <w:ind w:firstLine="567"/>
        <w:jc w:val="both"/>
      </w:pPr>
      <w:r>
        <w:rPr>
          <w:rFonts w:ascii="Arial" w:cs="Arial" w:eastAsia="Arial" w:hAnsi="Arial"/>
          <w:sz w:val="24"/>
          <w:szCs w:val="24"/>
        </w:rPr>
        <w:t xml:space="preserve">5) игристые вина, шампанское;</w:t>
      </w:r>
    </w:p>
    <w:p>
      <w:pPr>
        <w:spacing w:after="60"/>
        <w:ind w:firstLine="567"/>
        <w:jc w:val="both"/>
      </w:pPr>
      <w:r>
        <w:rPr>
          <w:rFonts w:ascii="Arial" w:cs="Arial" w:eastAsia="Arial" w:hAnsi="Arial"/>
          <w:sz w:val="24"/>
          <w:szCs w:val="24"/>
        </w:rPr>
        <w:t xml:space="preserve">6) винные напитки;</w:t>
      </w:r>
    </w:p>
    <w:p>
      <w:pPr>
        <w:spacing w:after="60"/>
        <w:ind w:firstLine="567"/>
        <w:jc w:val="both"/>
      </w:pPr>
      <w:r>
        <w:rPr>
          <w:rFonts w:ascii="Arial" w:cs="Arial" w:eastAsia="Arial" w:hAnsi="Arial"/>
          <w:sz w:val="24"/>
          <w:szCs w:val="24"/>
        </w:rPr>
        <w:t xml:space="preserve">7) коньяк;</w:t>
      </w:r>
    </w:p>
    <w:p>
      <w:pPr>
        <w:spacing w:after="60"/>
        <w:ind w:firstLine="567"/>
        <w:jc w:val="both"/>
      </w:pPr>
      <w:r>
        <w:rPr>
          <w:rFonts w:ascii="Arial" w:cs="Arial" w:eastAsia="Arial" w:hAnsi="Arial"/>
          <w:sz w:val="24"/>
          <w:szCs w:val="24"/>
        </w:rPr>
        <w:t xml:space="preserve">8) бренди;</w:t>
      </w:r>
    </w:p>
    <w:p>
      <w:pPr>
        <w:spacing w:after="60"/>
        <w:ind w:firstLine="567"/>
        <w:jc w:val="both"/>
      </w:pPr>
      <w:r>
        <w:rPr>
          <w:rFonts w:ascii="Arial" w:cs="Arial" w:eastAsia="Arial" w:hAnsi="Arial"/>
          <w:sz w:val="24"/>
          <w:szCs w:val="24"/>
        </w:rPr>
        <w:t xml:space="preserve">9) кальвадос;</w:t>
      </w:r>
    </w:p>
    <w:p>
      <w:pPr>
        <w:spacing w:after="60"/>
        <w:ind w:firstLine="567"/>
        <w:jc w:val="both"/>
      </w:pPr>
      <w:r>
        <w:rPr>
          <w:rFonts w:ascii="Arial" w:cs="Arial" w:eastAsia="Arial" w:hAnsi="Arial"/>
          <w:sz w:val="24"/>
          <w:szCs w:val="24"/>
        </w:rPr>
        <w:t xml:space="preserve">10) пиво;</w:t>
      </w:r>
    </w:p>
    <w:p>
      <w:pPr>
        <w:spacing w:after="60"/>
        <w:ind w:firstLine="567"/>
        <w:jc w:val="both"/>
      </w:pPr>
      <w:r>
        <w:rPr>
          <w:rFonts w:ascii="Arial" w:cs="Arial" w:eastAsia="Arial" w:hAnsi="Arial"/>
          <w:sz w:val="24"/>
          <w:szCs w:val="24"/>
        </w:rPr>
        <w:t xml:space="preserve">11) прочие крепкие алкогольные напитки;</w:t>
      </w:r>
    </w:p>
    <w:p>
      <w:pPr>
        <w:spacing w:after="60"/>
        <w:ind w:firstLine="567"/>
        <w:jc w:val="both"/>
      </w:pPr>
      <w:r>
        <w:rPr>
          <w:rFonts w:ascii="Arial" w:cs="Arial" w:eastAsia="Arial" w:hAnsi="Arial"/>
          <w:sz w:val="24"/>
          <w:szCs w:val="24"/>
        </w:rPr>
        <w:t xml:space="preserve">12) прочие слабоалкогольные напитки.</w:t>
      </w:r>
    </w:p>
    <w:p>
      <w:pPr>
        <w:spacing w:after="60"/>
        <w:ind w:firstLine="567"/>
        <w:jc w:val="both"/>
      </w:pPr>
      <w:r>
        <w:rPr>
          <w:rFonts w:ascii="Arial" w:cs="Arial" w:eastAsia="Arial" w:hAnsi="Arial"/>
          <w:sz w:val="24"/>
          <w:szCs w:val="24"/>
        </w:rPr>
        <w:t xml:space="preserve">87. На период строительства объекта "Алкогольная промышленность" применяется тариф на электроэнергию для группы потребителей "Промышленность".</w:t>
      </w:r>
    </w:p>
    <w:p>
      <w:pPr>
        <w:spacing w:after="200" w:before="200"/>
        <w:jc w:val="center"/>
      </w:pPr>
      <w:r>
        <w:rPr>
          <w:rFonts w:ascii="Arial" w:cs="Arial" w:eastAsia="Arial" w:hAnsi="Arial"/>
          <w:b/>
          <w:bCs/>
          <w:sz w:val="32"/>
          <w:szCs w:val="32"/>
        </w:rPr>
        <w:t xml:space="preserve">Глава 18. Применение тарифов на электрическую энергию, отпускаемую группе "Цементное производство"</w:t>
      </w:r>
    </w:p>
    <w:p>
      <w:pPr>
        <w:spacing w:after="60"/>
        <w:ind w:firstLine="567"/>
        <w:jc w:val="both"/>
      </w:pPr>
      <w:r>
        <w:rPr>
          <w:rFonts w:ascii="Arial" w:cs="Arial" w:eastAsia="Arial" w:hAnsi="Arial"/>
          <w:sz w:val="24"/>
          <w:szCs w:val="24"/>
        </w:rPr>
        <w:t xml:space="preserve">88. Отпуск электрической энергии группе "Цементное производство",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89. Отнесение потребителей электроэнергии в группу "Цементное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90. Тариф для группы потребителей "Цементное производство" при потреблении электроэнергии принимается в размере, указанном в пункте 14 </w:t>
      </w:r>
      <w:hyperlink w:history="1" r:id="rIdaq0qymu1c1jfniodmtkl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91. К группе "Цементное производство" относятся предприятия по производству цемента и цементной продукции.</w:t>
      </w:r>
    </w:p>
    <w:p>
      <w:pPr>
        <w:spacing w:after="60"/>
        <w:ind w:firstLine="567"/>
        <w:jc w:val="both"/>
      </w:pPr>
      <w:r>
        <w:rPr>
          <w:rFonts w:ascii="Arial" w:cs="Arial" w:eastAsia="Arial" w:hAnsi="Arial"/>
          <w:sz w:val="24"/>
          <w:szCs w:val="24"/>
        </w:rPr>
        <w:t xml:space="preserve">92. На период строительства объекта "Цементное производство" применяется тариф на электроэнергию для группы потребителей "Промышленность".</w:t>
      </w:r>
    </w:p>
    <w:p>
      <w:pPr>
        <w:spacing w:after="200" w:before="200"/>
        <w:jc w:val="center"/>
      </w:pPr>
      <w:r>
        <w:rPr>
          <w:rFonts w:ascii="Arial" w:cs="Arial" w:eastAsia="Arial" w:hAnsi="Arial"/>
          <w:b/>
          <w:bCs/>
          <w:sz w:val="32"/>
          <w:szCs w:val="32"/>
        </w:rPr>
        <w:t xml:space="preserve">Глава 19. Применение тарифов на электрическую энергию, отпускаемую основным потребителям</w:t>
      </w:r>
    </w:p>
    <w:p>
      <w:pPr>
        <w:spacing w:after="60"/>
        <w:ind w:firstLine="567"/>
        <w:jc w:val="both"/>
      </w:pPr>
      <w:r>
        <w:rPr>
          <w:rFonts w:ascii="Arial" w:cs="Arial" w:eastAsia="Arial" w:hAnsi="Arial"/>
          <w:sz w:val="24"/>
          <w:szCs w:val="24"/>
        </w:rPr>
        <w:t xml:space="preserve">93. Тарифы на электрическую энергию для основных потребителей электрической энергии устанавливаются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94. Плата за потребленную электрическую энергию основными потребителями электроэнергии производится по тарифам, установленным для потребителей группы "Промышленность (промышленные и приравненные к ним потребители)", за исключением основных потребителей, отнесенных к группам:</w:t>
      </w:r>
    </w:p>
    <w:p>
      <w:pPr>
        <w:spacing w:after="60"/>
        <w:ind w:firstLine="567"/>
        <w:jc w:val="both"/>
      </w:pPr>
      <w:r>
        <w:rPr>
          <w:rFonts w:ascii="Arial" w:cs="Arial" w:eastAsia="Arial" w:hAnsi="Arial"/>
          <w:sz w:val="24"/>
          <w:szCs w:val="24"/>
        </w:rPr>
        <w:t xml:space="preserve">1) "Майнинг (криптовалюта)";</w:t>
      </w:r>
    </w:p>
    <w:p>
      <w:pPr>
        <w:spacing w:after="60"/>
        <w:ind w:firstLine="567"/>
        <w:jc w:val="both"/>
      </w:pPr>
      <w:r>
        <w:rPr>
          <w:rFonts w:ascii="Arial" w:cs="Arial" w:eastAsia="Arial" w:hAnsi="Arial"/>
          <w:sz w:val="24"/>
          <w:szCs w:val="24"/>
        </w:rPr>
        <w:t xml:space="preserve">2) "Золоторудная промышленность";</w:t>
      </w:r>
    </w:p>
    <w:p>
      <w:pPr>
        <w:spacing w:after="60"/>
        <w:ind w:firstLine="567"/>
        <w:jc w:val="both"/>
      </w:pPr>
      <w:r>
        <w:rPr>
          <w:rFonts w:ascii="Arial" w:cs="Arial" w:eastAsia="Arial" w:hAnsi="Arial"/>
          <w:sz w:val="24"/>
          <w:szCs w:val="24"/>
        </w:rPr>
        <w:t xml:space="preserve">3) "Литейное производство";</w:t>
      </w:r>
    </w:p>
    <w:p>
      <w:pPr>
        <w:spacing w:after="60"/>
        <w:ind w:firstLine="567"/>
        <w:jc w:val="both"/>
      </w:pPr>
      <w:r>
        <w:rPr>
          <w:rFonts w:ascii="Arial" w:cs="Arial" w:eastAsia="Arial" w:hAnsi="Arial"/>
          <w:sz w:val="24"/>
          <w:szCs w:val="24"/>
        </w:rPr>
        <w:t xml:space="preserve">4) "Алкогольная промышленность";</w:t>
      </w:r>
    </w:p>
    <w:p>
      <w:pPr>
        <w:spacing w:after="60"/>
        <w:ind w:firstLine="567"/>
        <w:jc w:val="both"/>
      </w:pPr>
      <w:r>
        <w:rPr>
          <w:rFonts w:ascii="Arial" w:cs="Arial" w:eastAsia="Arial" w:hAnsi="Arial"/>
          <w:sz w:val="24"/>
          <w:szCs w:val="24"/>
        </w:rPr>
        <w:t xml:space="preserve">5) "Цементное производство".</w:t>
      </w:r>
    </w:p>
    <w:p>
      <w:pPr>
        <w:spacing w:after="60"/>
        <w:ind w:firstLine="567"/>
        <w:jc w:val="both"/>
      </w:pPr>
      <w:r>
        <w:rPr>
          <w:rFonts w:ascii="Arial" w:cs="Arial" w:eastAsia="Arial" w:hAnsi="Arial"/>
          <w:sz w:val="24"/>
          <w:szCs w:val="24"/>
        </w:rPr>
        <w:t xml:space="preserve">95. Суммарный тариф на электрическую энергию для основных потребителей электрической энергии не должен превышать тариф, установленный для группы небытовых потребителей. При этом, суммарный тариф за 1 кВт.ч электрической энергии должен складываться из тарифа на покупку 1 кВт.ч электрической энергии от вырабатывающей энергокомпании и тарифа на передачу электрической энергии, в случае подключения от сетей открытого акционерного общества "Национальная электрическая сеть Кыргызстана".</w:t>
      </w:r>
    </w:p>
    <w:p>
      <w:pPr>
        <w:spacing w:after="60"/>
        <w:ind w:firstLine="567"/>
        <w:jc w:val="both"/>
      </w:pPr>
      <w:r>
        <w:rPr>
          <w:rFonts w:ascii="Arial" w:cs="Arial" w:eastAsia="Arial" w:hAnsi="Arial"/>
          <w:sz w:val="24"/>
          <w:szCs w:val="24"/>
        </w:rPr>
        <w:t xml:space="preserve">96. К основным потребителям электрической энергии относятся потребители, которые имеют подключение напрямую от распределительных устройств генерирующей компании или от высоковольтных передающих сетей открытого акционерного общества "Национальная электрическая сеть Кыргызстана" и включены в Перечень основных потребителей электрической энергии и, следовательно, имеют право на заключение прямых договоров с генерирующими и передающими компаниями.</w:t>
      </w:r>
    </w:p>
    <w:p>
      <w:pPr>
        <w:spacing w:after="60"/>
        <w:ind w:firstLine="567"/>
        <w:jc w:val="both"/>
      </w:pPr>
      <w:r>
        <w:rPr>
          <w:rFonts w:ascii="Arial" w:cs="Arial" w:eastAsia="Arial" w:hAnsi="Arial"/>
          <w:sz w:val="24"/>
          <w:szCs w:val="24"/>
        </w:rPr>
        <w:t xml:space="preserve">97. Перечень основных потребителей электрической энергии утверждается уполномоченным государственным органом по регулированию топливно-энергетического комплекса.</w:t>
      </w:r>
    </w:p>
    <w:p>
      <w:pPr>
        <w:spacing w:after="200" w:before="200"/>
        <w:jc w:val="center"/>
      </w:pPr>
      <w:r>
        <w:rPr>
          <w:rFonts w:ascii="Arial" w:cs="Arial" w:eastAsia="Arial" w:hAnsi="Arial"/>
          <w:b/>
          <w:bCs/>
          <w:sz w:val="32"/>
          <w:szCs w:val="32"/>
        </w:rPr>
        <w:t xml:space="preserve">Глава 20. Применение тарифов на электрическую энергию, отпускаемую потребителям-перепродавцам электрической энергии</w:t>
      </w:r>
    </w:p>
    <w:p>
      <w:pPr>
        <w:spacing w:after="60"/>
        <w:ind w:firstLine="567"/>
        <w:jc w:val="both"/>
      </w:pPr>
      <w:r>
        <w:rPr>
          <w:rFonts w:ascii="Arial" w:cs="Arial" w:eastAsia="Arial" w:hAnsi="Arial"/>
          <w:sz w:val="24"/>
          <w:szCs w:val="24"/>
        </w:rPr>
        <w:t xml:space="preserve">98. Потребителем-перепродавцом электрической энергии является физическое или юридическое лицо, имеющее в своей собственности электрические сети,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99. Тарифы на электрическую энергию для потребителей-перепродавцов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100. Потребители-перепродавцы отпускают полученную от электроснабжающих организаций электрическую энергию потребителям, подключенным к их сетям,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60"/>
        <w:ind w:firstLine="567"/>
        <w:jc w:val="both"/>
      </w:pPr>
      <w:r>
        <w:rPr>
          <w:rFonts w:ascii="Arial" w:cs="Arial" w:eastAsia="Arial" w:hAnsi="Arial"/>
          <w:sz w:val="24"/>
          <w:szCs w:val="24"/>
        </w:rPr>
        <w:t xml:space="preserve">101. Перечень потребителей-перепродавцов электрической энергии утверждается уполномоченным государственным органом по регулированию топливно-энергетического комплекса.</w:t>
      </w:r>
    </w:p>
    <w:p>
      <w:pPr>
        <w:spacing w:after="200" w:before="200"/>
        <w:jc w:val="center"/>
      </w:pPr>
      <w:r>
        <w:rPr>
          <w:rFonts w:ascii="Arial" w:cs="Arial" w:eastAsia="Arial" w:hAnsi="Arial"/>
          <w:b/>
          <w:bCs/>
          <w:sz w:val="32"/>
          <w:szCs w:val="32"/>
        </w:rPr>
        <w:t xml:space="preserve">Глава 21. Применение тарифов на электрическую энергию, отпускаемую распределяющим предприятиям</w:t>
      </w:r>
    </w:p>
    <w:p>
      <w:pPr>
        <w:spacing w:after="60"/>
        <w:ind w:firstLine="567"/>
        <w:jc w:val="both"/>
      </w:pPr>
      <w:r>
        <w:rPr>
          <w:rFonts w:ascii="Arial" w:cs="Arial" w:eastAsia="Arial" w:hAnsi="Arial"/>
          <w:sz w:val="24"/>
          <w:szCs w:val="24"/>
        </w:rPr>
        <w:t xml:space="preserve">102. Распределяющими предприятиями (предприятия, распределяющие электрическую энергию) являются любые государственные, частные юридические или физические лица, снабжающие электрической энергией потребителей.</w:t>
      </w:r>
    </w:p>
    <w:p>
      <w:pPr>
        <w:spacing w:after="60"/>
        <w:ind w:firstLine="567"/>
        <w:jc w:val="both"/>
      </w:pPr>
      <w:r>
        <w:rPr>
          <w:rFonts w:ascii="Arial" w:cs="Arial" w:eastAsia="Arial" w:hAnsi="Arial"/>
          <w:sz w:val="24"/>
          <w:szCs w:val="24"/>
        </w:rPr>
        <w:t xml:space="preserve">Распределяющие предприятия производят покупку электрической энергии у электроэнергетических предприятий, занимающихся выработкой и передачей электрической энергии, и осуществляют ее распределение и продажу различным конечным потребителям, подключенным к их сетям: предприятиям, учреждениям, организациям, населению и т.д.</w:t>
      </w:r>
    </w:p>
    <w:p>
      <w:pPr>
        <w:spacing w:after="60"/>
        <w:ind w:firstLine="567"/>
        <w:jc w:val="both"/>
      </w:pPr>
      <w:r>
        <w:rPr>
          <w:rFonts w:ascii="Arial" w:cs="Arial" w:eastAsia="Arial" w:hAnsi="Arial"/>
          <w:sz w:val="24"/>
          <w:szCs w:val="24"/>
        </w:rPr>
        <w:t xml:space="preserve">Распределяющие предприятия осуществляют свою деятельность в соответствии с условиями лицензии, полученной в уполномоченном государственном органе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103. Расчет за отпущенную электрическую энергию с распределяющими предприятиями производится по тарифам, установленным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104. Тарифы на электрическую энергию для распределяющих предприятий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105. Распределяющие предприятия отпускают полученную от электроэнергетических предприятий электрическую энергию своим потребителям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60"/>
        <w:ind w:firstLine="567"/>
        <w:jc w:val="both"/>
      </w:pPr>
      <w:r>
        <w:rPr>
          <w:rFonts w:ascii="Arial" w:cs="Arial" w:eastAsia="Arial" w:hAnsi="Arial"/>
          <w:sz w:val="24"/>
          <w:szCs w:val="24"/>
        </w:rPr>
        <w:t xml:space="preserve">106. Перечень распределяющих предприятий утверждается уполномоченным государственным органом по регулированию топливно-энергетического комплекса.".</w:t>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2yt0y4yhaqgj8o0a2cd">
      <w:r>
        <w:rPr>
          <w:rFonts w:ascii="Arial" w:cs="Arial" w:eastAsia="Arial" w:hAnsi="Arial"/>
          <w:color w:val="132D3F"/>
          <w:sz w:val="16"/>
          <w:szCs w:val="16"/>
          <w:u w:val="single"/>
        </w:rPr>
        <w:t xml:space="preserve">dalil.kg/document/230000276</w:t>
      </w:r>
    </w:hyperlink>
  </w:p>
  <w:p>
    <w:pPr>
      <w:spacing w:after="0" w:before="40"/>
      <w:jc w:val="center"/>
    </w:pPr>
    <w:hyperlink w:history="1" r:id="rIdsunvf_ugmz_jjnpcwif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kgeo8ylmd2hdsb7kfnv" Type="http://schemas.openxmlformats.org/officeDocument/2006/relationships/hyperlink" Target="https://dalil.kg/document/230025980" TargetMode="External"/><Relationship Id="rIda1itcag9hw-sovhikmj1t" Type="http://schemas.openxmlformats.org/officeDocument/2006/relationships/hyperlink" Target="https://dalil.kg/document/663#st_6" TargetMode="External"/><Relationship Id="rIdrth9dkdtcfucjfnpgr57n" Type="http://schemas.openxmlformats.org/officeDocument/2006/relationships/hyperlink" Target="https://dalil.kg/document/112301#st_13" TargetMode="External"/><Relationship Id="rId_uvzs8seazxhetdspu_kf" Type="http://schemas.openxmlformats.org/officeDocument/2006/relationships/hyperlink" Target="https://dalil.kg/document/112301#st_17" TargetMode="External"/><Relationship Id="rIddeiwvzbtthkekp6ao18hp" Type="http://schemas.openxmlformats.org/officeDocument/2006/relationships/hyperlink" Target="https://dalil.kg/document/158784" TargetMode="External"/><Relationship Id="rIdzmr2z2j9qlheniicopwdv" Type="http://schemas.openxmlformats.org/officeDocument/2006/relationships/hyperlink" Target="https://dalil.kg/document/158785" TargetMode="External"/><Relationship Id="rIdv7fuqyqo5cwk52najfr_d" Type="http://schemas.openxmlformats.org/officeDocument/2006/relationships/hyperlink" Target="https://dalil.kg/document/158785" TargetMode="External"/><Relationship Id="rIdyzlmfrofuiun8hkyc2_lr" Type="http://schemas.openxmlformats.org/officeDocument/2006/relationships/hyperlink" Target="https://dalil.kg/document/158785#g2" TargetMode="External"/><Relationship Id="rIdha1jjxrqrr0nrbj-xuyej" Type="http://schemas.openxmlformats.org/officeDocument/2006/relationships/hyperlink" Target="https://dalil.kg/document/158785#g3" TargetMode="External"/><Relationship Id="rIdnbzgyrtg0s3yk40uhhzuf" Type="http://schemas.openxmlformats.org/officeDocument/2006/relationships/hyperlink" Target="https://dalil.kg/document/158785#pr2_1" TargetMode="External"/><Relationship Id="rIdum3bsjp-prqtd_owckjxg" Type="http://schemas.openxmlformats.org/officeDocument/2006/relationships/hyperlink" Target="https://dalil.kg/document/158785#pr2_1" TargetMode="External"/><Relationship Id="rIddncd_ql9ftv2zltaye_r7" Type="http://schemas.openxmlformats.org/officeDocument/2006/relationships/hyperlink" Target="https://dalil.kg/document/230000276#pr1" TargetMode="External"/><Relationship Id="rIdplaoswv9jblb4nmfubesr" Type="http://schemas.openxmlformats.org/officeDocument/2006/relationships/hyperlink" Target="https://dalil.kg/document/158785#pr1" TargetMode="External"/><Relationship Id="rIdvfn8_r9fbpggyj0wi7ewa" Type="http://schemas.openxmlformats.org/officeDocument/2006/relationships/hyperlink" Target="https://dalil.kg/document/158785#pr2" TargetMode="External"/><Relationship Id="rIdhp0sh2v05bmfv9ees3jyj" Type="http://schemas.openxmlformats.org/officeDocument/2006/relationships/hyperlink" Target="https://dalil.kg/document/158785#pr" TargetMode="External"/><Relationship Id="rIdkdgsu8lpp6agngl9j5u0c" Type="http://schemas.openxmlformats.org/officeDocument/2006/relationships/hyperlink" Target="https://dalil.kg/document/130#st_7" TargetMode="External"/><Relationship Id="rIdxqvam6zce8rawwu6thr-k" Type="http://schemas.openxmlformats.org/officeDocument/2006/relationships/hyperlink" Target="https://dalil.kg/document/92158" TargetMode="External"/><Relationship Id="rIdgv0l0m7r7mro50umrt2jk" Type="http://schemas.openxmlformats.org/officeDocument/2006/relationships/hyperlink" Target="https://dalil.kg/document/158785#pr3" TargetMode="External"/><Relationship Id="rIdlhsotdgigr_-kkmi7jxtr" Type="http://schemas.openxmlformats.org/officeDocument/2006/relationships/hyperlink" Target="https://dalil.kg/document/230000276#pr2" TargetMode="External"/><Relationship Id="rId89fhadc68wtontx33x2tk" Type="http://schemas.openxmlformats.org/officeDocument/2006/relationships/hyperlink" Target="https://dalil.kg/document/158784#pr2_1" TargetMode="External"/><Relationship Id="rIdultj_-0_vtrbj8cn7fvpo" Type="http://schemas.openxmlformats.org/officeDocument/2006/relationships/hyperlink" Target="https://dalil.kg/document/158784#pr3" TargetMode="External"/><Relationship Id="rId-qtsx0g1kbbvemf7fgcvo" Type="http://schemas.openxmlformats.org/officeDocument/2006/relationships/hyperlink" Target="https://dalil.kg/document/158784#pr1" TargetMode="External"/><Relationship Id="rIdbvii_wqh12dek3vpckvg5" Type="http://schemas.openxmlformats.org/officeDocument/2006/relationships/hyperlink" Target="https://dalil.kg/document/158784#pr1" TargetMode="External"/><Relationship Id="rIdrr2u-udlfz8gclva_u7hz" Type="http://schemas.openxmlformats.org/officeDocument/2006/relationships/hyperlink" Target="https://dalil.kg/document/158784#pr1" TargetMode="External"/><Relationship Id="rIdxtsakxyljzvvfdq2cy5s0" Type="http://schemas.openxmlformats.org/officeDocument/2006/relationships/hyperlink" Target="https://dalil.kg/document/158784#pr1" TargetMode="External"/><Relationship Id="rIdhtpxvngoby4fwvtryddvd" Type="http://schemas.openxmlformats.org/officeDocument/2006/relationships/hyperlink" Target="https://dalil.kg/document/158784#pr1" TargetMode="External"/><Relationship Id="rIdwwchtqva3a6cwsswzt1gw" Type="http://schemas.openxmlformats.org/officeDocument/2006/relationships/hyperlink" Target="https://dalil.kg/document/158784#pr1" TargetMode="External"/><Relationship Id="rIddydpzae9iaarghokhwep4" Type="http://schemas.openxmlformats.org/officeDocument/2006/relationships/hyperlink" Target="https://dalil.kg/document/158784#pr1" TargetMode="External"/><Relationship Id="rIdpha40dkrdkzlxwgpg5rz4" Type="http://schemas.openxmlformats.org/officeDocument/2006/relationships/hyperlink" Target="https://dalil.kg/document/158784#pr2" TargetMode="External"/><Relationship Id="rIduadzdfot535i3dxpaljw_" Type="http://schemas.openxmlformats.org/officeDocument/2006/relationships/hyperlink" Target="https://dalil.kg/document/158784#pr2" TargetMode="External"/><Relationship Id="rId3e6ifl9efbfh_awgphxxn" Type="http://schemas.openxmlformats.org/officeDocument/2006/relationships/hyperlink" Target="https://dalil.kg/document/158784#pr2" TargetMode="External"/><Relationship Id="rIdp2crzst3t4cysyszk7zzg" Type="http://schemas.openxmlformats.org/officeDocument/2006/relationships/hyperlink" Target="https://dalil.kg/document/158784#pr2" TargetMode="External"/><Relationship Id="rId6ubqv8wxdjzn2zg1ldbcd" Type="http://schemas.openxmlformats.org/officeDocument/2006/relationships/hyperlink" Target="https://dalil.kg/document/158784#pr2" TargetMode="External"/><Relationship Id="rIdm8ifsorszujumnriaa_hr" Type="http://schemas.openxmlformats.org/officeDocument/2006/relationships/hyperlink" Target="https://dalil.kg/document/158784#pr2" TargetMode="External"/><Relationship Id="rId9s7lnqsntgdrdkiobnb05" Type="http://schemas.openxmlformats.org/officeDocument/2006/relationships/hyperlink" Target="https://dalil.kg/document/158784#pr2" TargetMode="External"/><Relationship Id="rIdsklsysy8vinktxovv3jmj" Type="http://schemas.openxmlformats.org/officeDocument/2006/relationships/hyperlink" Target="https://dalil.kg/document/158784#pr1" TargetMode="External"/><Relationship Id="rIdpyw0nhsmgtyt_w_6rcm6b" Type="http://schemas.openxmlformats.org/officeDocument/2006/relationships/hyperlink" Target="https://dalil.kg/document/158784#pr1" TargetMode="External"/><Relationship Id="rIdcfzkjriqyh4i1rqybbiwp" Type="http://schemas.openxmlformats.org/officeDocument/2006/relationships/hyperlink" Target="https://dalil.kg/document/158784#pr1" TargetMode="External"/><Relationship Id="rIdsff9-xob9ufrqoya0kio9" Type="http://schemas.openxmlformats.org/officeDocument/2006/relationships/hyperlink" Target="https://dalil.kg/document/158784#pr1" TargetMode="External"/><Relationship Id="rIdbwxc1awl8zywzwozu9ajo" Type="http://schemas.openxmlformats.org/officeDocument/2006/relationships/hyperlink" Target="https://dalil.kg/document/158784#pr1" TargetMode="External"/><Relationship Id="rIdjhp8hurlhj4dqcmdspxam" Type="http://schemas.openxmlformats.org/officeDocument/2006/relationships/hyperlink" Target="https://dalil.kg/document/158784#pr1" TargetMode="External"/><Relationship Id="rIdcaggnlwe2mhzdfszzfaiu" Type="http://schemas.openxmlformats.org/officeDocument/2006/relationships/hyperlink" Target="https://dalil.kg/document/158784#pr1" TargetMode="External"/><Relationship Id="rIdjjapqsvpbdvq498w-w4np" Type="http://schemas.openxmlformats.org/officeDocument/2006/relationships/hyperlink" Target="https://dalil.kg/document/158784#pr1" TargetMode="External"/><Relationship Id="rIdttv4ycq1ykrgxbdztxrrs" Type="http://schemas.openxmlformats.org/officeDocument/2006/relationships/hyperlink" Target="https://dalil.kg/document/158784#pr1" TargetMode="External"/><Relationship Id="rIdnm4uww35sad74516gs86f" Type="http://schemas.openxmlformats.org/officeDocument/2006/relationships/hyperlink" Target="https://dalil.kg/document/158784#pr1" TargetMode="External"/><Relationship Id="rId2ci1viv9ezwe_thxnz7eb" Type="http://schemas.openxmlformats.org/officeDocument/2006/relationships/hyperlink" Target="https://dalil.kg/document/158784#pr2" TargetMode="External"/><Relationship Id="rIdu9e5d4zktuv4rpx6-d4w8" Type="http://schemas.openxmlformats.org/officeDocument/2006/relationships/hyperlink" Target="https://dalil.kg/document/158784#pr1" TargetMode="External"/><Relationship Id="rIdos7mh9bjfwevahwiokwyz" Type="http://schemas.openxmlformats.org/officeDocument/2006/relationships/hyperlink" Target="https://dalil.kg/document/158784#pr2" TargetMode="External"/><Relationship Id="rId_070ouoraoavb5scqyoqm" Type="http://schemas.openxmlformats.org/officeDocument/2006/relationships/hyperlink" Target="https://dalil.kg/document/158784#pr1" TargetMode="External"/><Relationship Id="rIdpg1tpp0kkbf4wdaoc27mh" Type="http://schemas.openxmlformats.org/officeDocument/2006/relationships/hyperlink" Target="https://dalil.kg/document/158784#pr1" TargetMode="External"/><Relationship Id="rIdsm6orskdc9capv9kfhts3" Type="http://schemas.openxmlformats.org/officeDocument/2006/relationships/hyperlink" Target="https://dalil.kg/document/158784#pr1" TargetMode="External"/><Relationship Id="rId8hxputy3cruc6a-1nrc4j" Type="http://schemas.openxmlformats.org/officeDocument/2006/relationships/hyperlink" Target="https://dalil.kg/document/158784#pr1" TargetMode="External"/><Relationship Id="rId-bi7vwzee9wjywe4d2zd5" Type="http://schemas.openxmlformats.org/officeDocument/2006/relationships/hyperlink" Target="https://dalil.kg/document/158784#pr1" TargetMode="External"/><Relationship Id="rIdfvqzllkcovhbgzf-uwhgp" Type="http://schemas.openxmlformats.org/officeDocument/2006/relationships/hyperlink" Target="https://dalil.kg/document/158784#pr1" TargetMode="External"/><Relationship Id="rIdefgcgjagkojkxejz8fihc" Type="http://schemas.openxmlformats.org/officeDocument/2006/relationships/hyperlink" Target="https://dalil.kg/document/158784#pr1" TargetMode="External"/><Relationship Id="rIdqut1b4y33qix73y-n5czt" Type="http://schemas.openxmlformats.org/officeDocument/2006/relationships/hyperlink" Target="https://dalil.kg/document/158784#pr1" TargetMode="External"/><Relationship Id="rId1ymou2zx-onthh0u8mspa" Type="http://schemas.openxmlformats.org/officeDocument/2006/relationships/hyperlink" Target="https://dalil.kg/document/158784#pr1" TargetMode="External"/><Relationship Id="rId3nq3iwjmdbkf2rqw9ai7y" Type="http://schemas.openxmlformats.org/officeDocument/2006/relationships/hyperlink" Target="https://dalil.kg/document/158784#pr1" TargetMode="External"/><Relationship Id="rIdrw5ukd-abqjv-vqx78jg0" Type="http://schemas.openxmlformats.org/officeDocument/2006/relationships/hyperlink" Target="https://dalil.kg/document/158784#pr1" TargetMode="External"/><Relationship Id="rIdp9vtn757wbp4g8vkk6wbc" Type="http://schemas.openxmlformats.org/officeDocument/2006/relationships/hyperlink" Target="https://dalil.kg/document/158784#pr1" TargetMode="External"/><Relationship Id="rIdq3pgnt1aiduraegnqrgvj" Type="http://schemas.openxmlformats.org/officeDocument/2006/relationships/hyperlink" Target="https://dalil.kg/document/158784#pr1" TargetMode="External"/><Relationship Id="rIdaq0qymu1c1jfniodmtklu" Type="http://schemas.openxmlformats.org/officeDocument/2006/relationships/hyperlink" Target="https://dalil.kg/document/158784#pr1"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2yt0y4yhaqgj8o0a2cd" Type="http://schemas.openxmlformats.org/officeDocument/2006/relationships/hyperlink" Target="https://dalil.kg/document/230000276" TargetMode="External"/><Relationship Id="rIdsunvf_ugmz_jjnpcwif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2026-09-24T18:21:53.805Z</dcterms:created>
  <dcterms:modified xsi:type="dcterms:W3CDTF">2026-09-24T18:21:53.805Z</dcterms:modified>
</cp:coreProperties>
</file>

<file path=docProps/custom.xml><?xml version="1.0" encoding="utf-8"?>
<Properties xmlns="http://schemas.openxmlformats.org/officeDocument/2006/custom-properties" xmlns:vt="http://schemas.openxmlformats.org/officeDocument/2006/docPropsVTypes"/>
</file>