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8zfbtpkinspadqaie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01-13/199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 тарифов на электрическую энергию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 Предмет регулирования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Настоящая Методика определения тарифов на электрическую энергию (далее - Методика) распространяется на электроэнергетические предприятия, вырабатывающие, передающие, распределяющие и поставляющие электрическую энергию объемом более 1 млрд. кВтч, регулирование тарифов которых осуществляется по решению Кабинета Министров Кыргызской Республики (далее – ЭЭП).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Тарифы на электроэнергию должны отражать все обоснованные затраты ЭЭП, обеспечивать стимулы для эффективной работы, а также доступность электроэнергии для уязвимых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ЭЭП должны использовать для тарифного регулирования тот же план счетов и правила бухгалтерского учета, которые используются для финансового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ЭЭП несут ответственность за достоверность представленных и опубликованных данных в процессе установления тарифов. В процессе установления тарифов такие данные считаются достоверными, если обратное не подтверждено.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 Определения и сокращения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 Методике использованы следующие определения и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производитель ВИЭ - производитель электрической энергии из возобновляемых источников энергии (ВИЭ) определённый в соответствии с Законом Кыргызской Республики «О возобновляемых источниках энергии»;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ДТЭК - уполномоченный государственный орган по регулированию топливно-энергетического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ЭЭП - все электроэнергетические предприятия, включая ЭС, ЧГЭС, КЭРЦ 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НЭСК - OAO «Национальная электрическая сеть Кыргызстана»;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КЭРЦ - ОАО «Кыргызский энергетический расчетный центр»;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НПЭ - независимый производитель 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тариф - тариф на покупку или продажу электрической энергии, утвержденный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ЭС - OAO «Электрические станции»;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ЧГЭС - ОАО «Чакан ГЭС»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подачи документов (расчетных материалов)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установления тарифов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(расчетные материалы) для установления тарифов представляется субъектом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установления тарифов ЭЭП необходимо предоставить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пояснительная записка;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технико-экономические и финансовые показатели ЭЭП (план, факт);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балансовый отчет со всеми приложениями, подтвержденный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применения действующих тарифов в суммарном и количественном выражении;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показатели детализации - расшифровка отдельных статей затрат с приложением копий подтверждающих документов (счетов-фактур, договоров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обоснование принятого объема прибыли (рентабельности);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инвестиций, бизнес-планы;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закупках товаров (работ, услуг), осуществляемых в форме тендера.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Требуемый доход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 Определение требуемого дохода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Требуемый доход ЭЭП (RR)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 – топливо на технологические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 – затраты на покупку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OMC – операционные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DEPR – амортизационные затраты;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PRF – допускаемая прибыль на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 – затраты на обслуживание кредитов, подлежащие включению в требуемый доход в установленных данной методикой случаях;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 – коррекция затрат прошлого тарифного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При расчете требуемого дохода затраты должны быть основаны на данных за самый последний 12-месячный период (фактический год), близкий к периоду расчетному, для которого имеются достоверные данные о затратах.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Требование к доходам рассчитывается на основе следующих подходов: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нормализация годовых затрат, посредством чего затраты в течение фактического года должны корректироваться таким образом, чтобы исключить единовременные расходы, связанные с чрезвычайными обстоятельствами и единовременными расходами или доходами, которые не ожидаются каждый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включение дополнительных затрат ЭЭП на приобретение электроэнергии, вырабатываемой с использованием ВИЭ, в расчет тарифа окончательных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ЭЭП не могут требовать возмещения затрат, которые не были изначально включены в расчет требуемого дохода, если это не предусмотрено данной Методикой. Риски, связанные с такими затратами, полностью несут ЭЭП.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Для определения требуемого дохода ЭТ, изначально он (RR) определяется в отдельности для каждой из электрических станций входящей в его состав, после чего консолидируется в целом для ЭТ. То же самое делается в случаи НЭСК, для каждой распределительной компании и передающей 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ЭЭП предоставляют План капитальных вложений на следующий тарифный период в соответствии с «Порядком согласования инвестиционных программ лицензированных предприятий энергетического комплекса с уполномоченным государственным органом по регулированию топливно-энергетического комплекса» утвержденным приказом Государственного агентства по регулированию топливно-энергетического комплекса при Правительстве Кыргызской Республики от 1 ноября 2016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 Топливо на технологические цели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Статья «Топливо на технологические цели» (FC) используется для определения требуемого дохода ЭС и включает стоимость только технологического топлива, расходуемого непосредственно на производство электрической энергии. Сюда включается стоимость только тех видов топлива, которые приобретаются со стороны. Затраты на топливо определяются исходя из установленных норм и его потребности: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 технологические нужды по выработке электрической энергии в соответствии с заданной выработкой, удельными расходами топлива на единицу продукции и цены одной тонны условного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расходы топлива на технологические цели, также включаются все топливо, израсходованное на сушку котлов после ремонта, растопки и горячий резерв.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Стоимость топлива на технологические цели определяется по следующей формуле: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FRC – стоимость любых видов топлива для дополнения резервов, если данные резервы были использованы в течении прошлого тарифного периода. Виды топлива и количество общих резервов должно быть установлено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WGTPP - прогнозируемый объем производства электроэнергии на тепловых станциях работающих с использованием природного газа;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HRGTPP - удельный расход природного газа на данной станции;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FPGTPP – прогнозируемая средняя стоимость природного газа для тарифного периода, которое определяется согласно тарифам, установленным для поставки данного топлива для производства электроэнергии на момент расчета тарифов;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WCTPP - прогнозируемый объем производства электроэнергии на тепловых станциях работающих с использованием угля;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HRCTPP - удельный расход угля на данной станции;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FPCTPP – прогнозируемая средняя стоимость угля для тарифного периода. В стоимость угля входит стоимость топлива по договорным ценам поставщиков, включая скидки (надбавки) к ценам за пониженное (повышенное) качество топлива (за отклонения от расчетных норм зольности и влажности), железнодорожный тариф, а также расходы по погрузке и доставке (если транспорт сторонних организаций), таможенные пошлины и другие расходы до склада хранения 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 Покупная электроэнергия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Статья «Покупная электроэнергия» (EPC) используется для определения требуемого дохода всех ЭЭП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электроэнергии, расходуемой на технологические потери, другие технологические цели и хозяйственные нужды в цехах вспомогательного производства и на хозяйственные нужды (освещение и отопление помещений, материальных складов и др. непроизводственных зданий) для всех ЭЭП;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стоимость импортируемой электроэнергии для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от ЭС, НПЭ и ВИЭ для бесперебойной поставки электроэнергии потребителям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для ЭС (EPCGenCo)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WLGenCo – прогнозируемое количество покупной электроэнергии, расходуемой на технологические потери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WTGenCo – прогнозируемое количество покупной электроэнергии, расходуемой на другие технологические цели и хозяйственные нужды в цехах вспомогательного производства и на хозяйственные нужды (освещение и отопление помещений, материальных складов и др. непроизводственных зданий)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ТTLGenCo – прогнозируемый тариф покупной электроэнергии, расходуемой на технологические потери, другие технологические цели и хозяйственные нужды в цехах вспомогательного производства и на хозяйственные нужды ЭС (освещение и отопление помещений, материальных складов и др. непроизводственных зданий);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EPCimp – прогнозируемая стоимость импортируемой из других стран электроэнергии со стороны ЭС, определенная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Wimp – прогнозируемый объем импортируемой из других стран электроэнергии, в каждой из точек импорта;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Timp – прогнозируемая договорная цена за единицу импортируемой из других стран электроэнергии в каждой из точек импорта;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ExRimp – прогнозируемый курс валюты к отношению KGS если договор на импорт может быть заключен в иностранной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покупной электроэнергии для НЭСК (EPCDisCo)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WGenCo – количество покупной электроэнергии от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ТGenCo – тариф на покупку электроэнергии от 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WIPP&amp;RE – количество покупной электроэнергии от НПЭ и производителей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TEIPP&amp;RE – тариф на покупку электроэнергии от НПЭ и производителей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PIPP&amp;RE – покупаемая мощность от НПЭ и производителей ВИЭ, если такое предусмотрено по договору покупки;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TCIPP&amp;RE – тариф на покупку мощности от НПЭ и производителей ВИЭ, если такое предусмотрено по договору покупки;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ExRimp – прогнозируемый курс валюты по отношению к сому если договор на покупку электроэнергии или мощности от НПЭ и производителей ВИЭ установлен в иностранной валюте и если такое предусмотрено по договору покупки.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 Операционные затраты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Статья «Операционные затраты» (OMC) используется для определения требуемого дохода всех энергетических предприятий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WGS – расходы по оплате труда, так же компенсаций, выплачиваемых в установленных законодательством, выплат стимулирующего характера (премии, поощрения и т.д.), в размерах, согласованных с регулирующим органом и любые другие связанные с оплатой труда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MRC - стоимость ремонтных работ и технического обслуживания, которая состоит из расходов на комплекс операций по восстановлению исправности или работоспособности и восстановлению ресурса основных средств или его составных частей, также по поддержанию работоспособности или исправности оборудования при использовании по назначению, ожидании, хранении и транспортировании. Стоимость ремонтных работ не должна включать расходы на капитальные вложения, понесенные в связи с вложением в строительство новых активов, реконструкцию, модернизацию и замену существующих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MTC – расходы на приобретение материалов, комплектующих изделий и полуфабрикатов для текущего обслуживания основных средств или его составных частей, так же запасных частей для ремонта оборудования, инструментов, приспособлений, инвентаря, приборов, лабораторного оборудования, спецодежды и прочих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TFC – транспортные расходы, включая любые затраты на топливо, другие горюче-смазочные материалы и техническое обслуживание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 – административные расходы, которые включают любые расходы, связанные с офисными принадлежностями, техническими средствами управления, узлов связи, средств сигнализации, вычислительных центров и других технических средств управления, командировки и обучение персонала, ежегодная плата регулируемых субъектов в размере определяемом уполномоченным органом по выработке и реализации государственной политики в области топливно-энергетического комплекса и любые другие соответствующие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PRC – аренда имущества, включая любую арендную плату за производственные и офисные здания, сооружения, транспортные средства или любое другое оборудование;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INC – расходы на страхование, которые включают любые расходы на страхование, связанные со страхованием здоровья сотрудников, страхованием транспортных средств или активов;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MCC – расходы связанные со сбором денежных средств от потребителей, такие как комиссии за перевод и банковские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NFT – невозмещаемые налоги, пошлины и другие обязательные сборы, такие как земельный налог, налог на имущество, налог с продаж, налог на добавленную стоимость, которая не возмещается конечными потребителями, таможенные пошлины, не включая  подоходный налог, налог на добавленную стоимость которая возмещается конечными потребителями, корпоративный налог и налог от продаж;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OOC – прочие операционные и производственные расходы, необходимые для безопасной и надежной работы энергосистемы или для регулируемых организаций для предоставления потребителям качественных услуг и другие обоснованные и непредвиденные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 Обслуживание кредитов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Статья «Обслуживание кредитов» (LRC) используется для определения требуемого дохода только ЭЭП и включает стоимость обслуживания долгосрочных кредитов, которые получаются при гарантии Кабинета Министров Кыргызской Республики и направляются на реализацию проектов капитальных вложений. Затраты на обслуживание кредитов (LRC) включаются в состав требуемого дохода ЭЭП, если их величина больше восьми десяти пяти процентов от общей суммы амортизации (DEPR) и прибыли (PRF). В требуемый доход включается только превышающие восемьдесят пять процентов амортизации и прибыли затраты на обслуживание кредитов, если другое процентное соотношение текущего уровня долговых обязательств не было применено ДТЭК во время установления тарифов.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Затраты по основной сумме и процентам долгосрочных займов включаются в ежегодное заявление на формирование тарифа точно так, как они прописаны в условиях соглашения о кредитовании и определяются по следящей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LFC – другие финансовые расходы, которые включают любые расходы, связанные с утверждением и финансированием нового соглашения о кредитовании, которые будут гарантированы и предоставлены Кабинету Министров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LB – сумма погашения основного долга соответствующего кредита в течение тарифного периода по соглашению о кредитовании. Если в течение тарифного периода оплаты по основному долгу не предусмотрено, этот компонент считается равным нулю;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 – сумма погашения процентов соответствующего кредита в течение тарифного периода по соглашению о кредитовании. Если в течение тарифного периода оплаты по процентам не предусмотрено, этот компонент считается равным нулю;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ExR – прогнозируемый обменный курс сома по отношению к иностранной валюте, в котором было заключено соглашение о кредитовании с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 Регулируемая база активов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Регулируемая база активов (РАБ или RAB) представляет собой стоимость активов, в отношении которых ЭЭП разрешено получить доход. Она определяется для всех ЭЭП и состоит из следующих трех основных элементов: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начальный РАБ (RABrbv);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стоимость новых активов (FIA);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оборотный капитал (WC).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РАБ пересчитывается не реже одного раза в год для учета следующих факторов: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новые инвестиции в материальные и нематериальные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накопленные амортизационные отчисления;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изменение величины оборотного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РАБ определя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 = RABrbv + FIA + WC - DEPR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RABrbv – регулируемая база активов определенная согласно главе 9.1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 – стоимость нововведённых материальных и нематериальных активов, которые были созданы после определения RABrbv определенная согласно главе 9.2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 – оборотный капитал определенный согласно главе 9.3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DEPR – амортизационные затраты определенные согласно главе 10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9.1 Начальная РАБ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Начальная РАБ (RABrva) во время первого тарифного периода для ЭЭП будет определена на основании ежегодной индексации первоначальной балансовой стоимости материальных и нематериальных активов</w:t>
      </w:r>
      <w:r>
        <w:rPr>
          <w:rFonts w:ascii="Arial" w:cs="Arial" w:eastAsia="Arial" w:hAnsi="Arial"/>
          <w:sz w:val="24"/>
          <w:szCs w:val="24"/>
        </w:rPr>
        <w:t xml:space="preserve">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При последующих тарифных периодах начальная РАБ (RABrva) принимается на уровне, который был использован во время расчета прошлого тарифного периода с учетом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§ 9.2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новых активов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Стоимость нововведённых материальных и нематериальных активов (FIA), которые были созданы после определения RABrba,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 = FIAibv – FIAgf – FIAsld – FIAmnt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FIAibv – стоимость нововведённых материальных и нематериальных активов согласно данным бухгалтерского учета, которые были созданы после определения RABrbv;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FIAgf – стоимость нововведённых материальных и нематериальных активов, которые были получены безвозмездно, включительно безвозмездно полученные любые средства которые были использованы для создания этих активов после определения RABrbv, если по договору о передаче данных активов другое не предусмотрено;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FIAsld – стоимость любых материальных и нематериальных активов, которые были проданы или ликвидированы после определения RABrbv;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FIAmnt – стоимость нововведённых или материальных и нематериальных активов вошедших в состав RABrbv, которые по результатам мониторинга и проверок уполномоченными государственными органами полностью или частично признаны как не полезные или не используемые для предоставления услуг по выработке, передаче и распределению электроэнергии или стоимость которых признана частично завышенной.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9.3 Оборотный капитал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Оборотный капитал (WC) включается в расчет регулируемой базы активов для финансирования текущей деятельности всех ЭЭП и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WC = OMC x DWC/365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DWC – период (количество дней) в течении которого ЭЭП будут нуждаться в оборотном капитале. DWC устанавливается ДТЭК для каждого ЭЭП на основании изучения фактических данных.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Амортизационные затраты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Статья «Амортизационные затраты» (DEPR) используется для определения требуемого дохода всех ЭЭП и рассчитывается линейным методом по отношению к первоначальной балансовой стоимости тех материальных и нематериальных активов, которые вошли в состав RAB. Амортизационные затраты определяются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RABibv – первоначальная балансовая стоимость тех материальных и нематериальных активов, которые вошли в состав RAB;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 – средневзвешенная норма амортизации, которую ЭЭП применило в своем последнем опубликованном финансовом отчете по отношению к материальным и нематериальным активам.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11. Допускаемая прибыль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Статья «Допускаемая прибыль» (PRF) используется для определения требуемого дохода всех энергетических предприятий и рассчитывается к отношению RAB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RoR – средневзвешенная норма допускаемой прибыли, которая определяется согласно пункту 45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Средневзвешенная норма допускаемой прибыли (RoR) устанавливается ДТЭК на основании средневзвешенной стоимости капитала (WACC), которая определяется с применением подходов, применяемых в международной практике, и пересматривается во время утверждения среднесрочной тарифной политики</w:t>
      </w:r>
      <w:r>
        <w:rPr>
          <w:rFonts w:ascii="Arial" w:cs="Arial" w:eastAsia="Arial" w:hAnsi="Arial"/>
          <w:sz w:val="24"/>
          <w:szCs w:val="24"/>
        </w:rPr>
        <w:t xml:space="preserve">․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12. Коррекция затрат прошлого тарифного периода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Статья «Коррекция затрат прошлого тарифного периода» (PR) используется для определения требуемого дохода всех энергетических предприятий 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корректировку стоимости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корректировку затрат на обслуживание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прочие доходы от использования активов, вовлеченных для выработки, передачи и распределения электроэнергии.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Коррекция затрат прошлого тарифного периода (PR)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PR = FCR + EPCRimp + LRCR - OFI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FCR – корректировка стоимости топлива на технологические цели, для компенсации финансовых потерь или вычисления дополнительных доходов, которые возникли в следствии изменения стоимости топлива или обменного курса если топливо покупается в иностранной валюте;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EPCRimp – корректировка прогнозируемой стоимости импортируемой из других стран электроэнергии со стороны ЭЭП;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LRCR – корректировка затрат на обслуживание кредитов для компенсации финансовых потерь или вычисления дополнительных доходов, которые возникли в следствии изменения обменного курса сома к соответствующей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OFI – прочие доходы от использования активов, вовлеченных для выработки, передачи и распределения электроэнергии или полученные в следствии несоблюдения настоящей методики.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Корректировка стоимости топлива на технологические цели прошлого тарифного периода (FCR)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FCR = FC - FCA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FCA – фактическая стоимость FC, которая определяется согласно пункту 14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Корректировка прогнозируемой стоимости, импортируемой из других стран электроэнергии со стороны ЭС (EPCRimp) определяется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EPCRimp = EPCimp - EPCAimp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EPCAimp – фактическая стоимость EPCimp, которая определяется согласно пункту 16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затрат на обслуживание кредитов прошлого тарифного периода (LRCR) определятся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LRCR = LRC - LRCA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LRCA – фактические затраты по LRC, которая определяется согласно пункту 35 настоящей методики используя фактические данные.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Определение тарифов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13. Общие подходы к распределению затрат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Распределение требуемого дохода - это процесс закрепления части требуемого дохода за каждой группой потребителей. Показатели требуемого дохода по группам определяются исходя из происхождения затрат. Требование к доходу по конкретной группе устанавливается c расчетом стоимости обслуживания данной группы. Распределенный по каждой группе потребителей требуемый доход отражает понесенные электроэнергетическим предприятием издержки в виде мощности, электроэнергии и административных расходов для обслуживания этих групп. Расчет объема дохода в пересчете на каждую группу потребителей является распределением затрат. Процесс распределения затрат состоит из следующих трех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функционализация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классификация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распределение затрат.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Функционализация - это распределение затрат в соответствии с основными функциями в электроэнергетическом секторе, как представлено ниже: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затраты на производство электроэнергии, а в случае совместного производства затраты на производство тепловой и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технологическое управление и передачу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на коммерческое управление электроэнергетической системой;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 распределение 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затраты на поставку электроэнергии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Классификация - это следующий шаг распределения затрат по группам, связанным с характеристикой данной услуги, как представлено ниже: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товарные или энергетические затраты, которые варьируют в зависимости от объема электроэнергии. К товарным затратам относятся расходы на топливо, приобретенная электроэнергия и ряд расходов на эксплуатацию и техническое обслуживание своих мощностей;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объявленный максимум нагрузки либо мощность, которые варьируют в зависимости от уровня спроса на электроэнергию со стороны потребителей. Затраты на объявленный максимум нагрузки включают в себя любое оборудование либо производственные объекты, требующиеся для удовлетворения уровней выше средне-системных нагрузок;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</w:t>
      </w:r>
      <w:r>
        <w:rPr>
          <w:rFonts w:ascii="Arial" w:cs="Arial" w:eastAsia="Arial" w:hAnsi="Arial"/>
          <w:sz w:val="24"/>
          <w:szCs w:val="24"/>
        </w:rPr>
        <w:t xml:space="preserve">атраты на обслуживание потребителей. Затраты на обслуживание потребителей складываются из предоставления услуг потребителям и не зависят от объемов услуги либо норм использования электроэнергии. Затраты на обслуживание потребителей включают в себя затраты на обслуживание линии электропередачи и приборами учета данного потребителя, затраты, связанные со, съемом показаний и билинговой системой, с выставлением счетов и обработку платежей, а также связанные с работой колл центров.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Процесс распределения заключается в точном и пропорциональном соотнесении затрат по группам потребителей соответственно тому, каким образом эти затраты были понесены. Часть затрат складывается из обслуживания всех потребителей и не ассоциируются с той или иной группой потребителей. </w:t>
      </w:r>
      <w:r>
        <w:rPr>
          <w:rFonts w:ascii="Arial" w:cs="Arial" w:eastAsia="Arial" w:hAnsi="Arial"/>
          <w:sz w:val="24"/>
          <w:szCs w:val="24"/>
        </w:rPr>
        <w:t xml:space="preserve">Данные характеристик услуг для каждой группы потребителей используются для разработки факторов распределения. Существует два основных метода распределения затрат, в которых в первой группе используются только с нагрузкой, а во втором - методы, связанные с нагрузкой и потреблением.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После распределения требуемого дохода всех ЭЭП по разным группам потребителей, разрабатывается структура тарифов, которая распределит требуемый доход между группами потребителей с использованием тарифов на электроэнергию, мощность или других тарифных 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14. Текущий подход распределения затрат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Функционализация затрат в соответствии с основными функциями в электроэнергетическом секторе проводится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затраты ЭС, ЧГЭС, НПЭ и ВИЭ относятся к функции производства электроэнергии;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КЭРЦ относятся к функции коммерческого управления электроэнергетической системой;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НЭСК относятся к функциям технологического управления, передачи, распределения и поставки электроэнергии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На данном этапе, до достижения доступности НЭСК достоверных данных для классификации затрат на мощность и обслуживание потребителей и возможности проведения соответствующего анализа этих затрат на предмет улучшения структуры тарифов, все затраты классифицируются как товарные или энергетические.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15. Особенности распределения затрат ЭС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Для распределения затрат теплоэлектростанций, входящих в состав ЭС, производящих тепловую и электрическую энергию одновременно, во время определения требуемого дохода ЭС применяются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требуемый доход ЭС (RRGenCo) определяется как сумма двух компонентов (RRGenCo1, RRGenCo2) определенных согласно подпунктам 2 и 3 данного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затраты на топливо на технологические цели (FC), затраты на покупку электроэнергии (EPCGenCo) без составного импорта электроэнергии (EPCimp), операционные затраты (OMC) и корректировка стоимости топлива на технологические цели (FCR) относятся на тепловую и электрическую энергию пропорционально, в соответствии с объемами вырабатываемой тепловой и электрической энергии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QGenCo – выработка тепловой энергии в кВтч определенная по тепловому коэффициенту 1 ГКалл = 1163 кВтч.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затраты на обслуживание кредитов (LRC), амортизационные затраты (DEPR), допускаемая прибыль на (PRF), коррекция затрат на обслуживание кредитов для компенсации финансовых потерь или вычисления дополнительных доходов (LRCR) и </w:t>
      </w:r>
      <w:r>
        <w:rPr>
          <w:rFonts w:ascii="Arial" w:cs="Arial" w:eastAsia="Arial" w:hAnsi="Arial"/>
          <w:sz w:val="24"/>
          <w:szCs w:val="24"/>
        </w:rPr>
        <w:t xml:space="preserve">прочие доходы от использования активов, вовлеченных для выработки, передачи и распределения электроэнергии (OFI) распределяются на основе установленной мощности по каждому виду энергии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PWGenCo – установленная мощность выработки электричества;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PQGenCo – установленная мощность выработки тепловой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16. Определение тарифов на оптовом рынке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На оптовом рынке электроэнергии устанавливаются следующие тарифы: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ЭС, ЧГЭС, ВИЭ и НПЭ;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тариф на технологическое управление электроэнергетической системой и передачу электроэнергии со стороны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определяется следующим образом: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оптовый расчётный тариф на продажу электроэнергии со стороны ЭС и ЧГЭС (TGenCo) определяется по следующей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RRGenCo – требуемый доход ЭС или ЧГЭС определенный согласно разделу 15 данной методики;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ВИЭ (TRE), который устанавливается в соответствии с требованиями Закона КР «О возобновляемых источниках энергии»;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оптовый тариф на продажу электроэнергии со стороны НПЭ (TIPP), который устанавливается согласно договорам о государственно-частном партнерстве, либо межправительственным договорам, заключенным между данным НПЭ и Кабинетом Министров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Тариф на технологическое управление электроэнергетической системой и передачу электроэнергии со стороны НЭСК (TNESK) определятся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RRNESK – это требуемый доход НЭСК определенный согласно разделу 4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WGenCo – электроэнергия ЭС и ЧГЭС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WIPP – электроэнергия НПЭ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WRE – электроэнергия ВИЭ поступившая в сети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Wimp – импорт электроэнергии через сети НЭСК.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
 § 17. Определение тарифов на розничном рынке электроэнергии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На розничном рынке устанавливаются тарифы на поставку электроэнергии потребителям НЭСК. Во всех остальных случаях потребительские тарифы на электроэнергию не регулируются. Розничные тарифы для потребителей НЭСК устанавливаются, учитывая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потребительские группы, для которых устанавливаются отдельные тарифы, определяются согласно действующей для данного периода тарифной политикой на электрическую энергию;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всех потребителей электроэнергии, которые находятся в одной группе, тарифы на покупку электроэнергии устанавливаются на одинаковом уровне на всей территории Кыргызской Республики в независимости от того, какой РЭК или Поставщик данному потребителю поставляет электроэнергию.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Для определения тарифов на розничном рынке электроэнергии для НЭСК рассчитывается средневзвешенный тариф продажи электроэнергии (TRENESK)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RRNESK – требуемый доход НЭСК определенный согласно разделу 4 данной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WNESK – прогнозируемое потребление электроэнергии потребителей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BDNESK – допускаемый уровень безнадежных долгов в тарифе НЭСК.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Если средневзвешенный тариф продажи электроэнергии (TRENESK) не обеспечивает требуемый доход всех ЭЭП, в уполномоченный государственный орган по выработке политики в сфере энергетики и Кабинет Министров Кыргызской Республики вносятся следующие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повышение действующих розничных тарифов на электроэнергию для всех или отдельных групп потребителей основываясь на общих подходах определения тарифного плана для потребителей до уровня, когда будет обеспечен требуемый доход ЭЭП;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снижение нормы прибыли (RoR) ЭЭП, определённой согласно пункту 44 данной методики пока не будет обеспечен требуемый доход всех ЭЭП.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Установление тарифов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18. Процедура отчетности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ЭЭП в сроки, установленные настоящей Методикой, по итогам года в рамках процесса установления тарифов, представляют следующее виды отчетов: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 техническо-экономических показателях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 №1;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Фактический баланс электроэнергии согласно приложению №2а для ЭС и №2в для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доходах и расходах от торговли электроэнергией согласно приложению №2б для ЭС и №2г для НЭСК;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по фонду оплаты труда согласно приложению №3;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ремонтных работах и техническом обслуживании основных средств согласно приложению №4;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материальных расходах согласно приложению №5;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 о транспортных расходах согласно приложению №6;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Отчет об административных расходах согласно приложению №7;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Отчет о прочих операционных и производственных затратах согласно приложению №8;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Отчет о кредитах и займах согласно приложению №9;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Отчет о приобретении, строительстве, отчуждении и ликвидации основных средств согласно приложениям №10а, №10б, №10в и №10г;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Расчет амортизационных отчислений согласно приложению №11.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пункте 51 настоящей методики, представляются ЭЭП в ДТЭК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квартал до 30 апреля каждого года только отчеты, указанные в подпунктах 1), 2), 3), 4), 5), 6), 8),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полугодие до 31 июля каждого года только отчеты, указанные в подпунктах 1), 2), 3), 4), 5), 6), 8),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девять месяцев до 31 октября каждого года только отчеты, указанные в подпунктах 1), 2), 3), 4), 5), 6), 8) и 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до 31 марта следующего года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подпунктах 1), 2), 3), 4), 5), 6), 7), 8), 9), 10), 11), и 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Если последняя дата предоставления отчетов выпадает на нерабочий выходной или праздничный день, то она переносится на первый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Одна печатная копия отчетов представляется в ДТЭК с сопроводительным письмом, подписанным руководителем и главным бухгалтером предприятия,</w:t>
      </w:r>
      <w:r>
        <w:rPr>
          <w:rFonts w:ascii="Arial" w:cs="Arial" w:eastAsia="Arial" w:hAnsi="Arial"/>
          <w:sz w:val="24"/>
          <w:szCs w:val="24"/>
        </w:rPr>
        <w:t xml:space="preserve">и заверенным печатью данного юридического лица. Предоставляемые данные должны быть также подписаны курирующими руководителями и ответственными исполнителями. Все документы также представляются в электронном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подпунктах 1), 2), 3) и 6) пункта 51 представляются с отражением прогнозов на тарифный период. В процессе установления тарифов ДТЭК может потребовать от ЭЭП представить дополнительную информацию и обоснования.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Отчеты, указанные в пункте 51 настоящей Методики, публикуются в электронном виде на интернет-сайте ДТЭК в течении трех месяцев после их получения от ЭЭП.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19. Рассмотрение и установление тарифов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r>
        <w:rPr>
          <w:rFonts w:ascii="Arial" w:cs="Arial" w:eastAsia="Arial" w:hAnsi="Arial"/>
          <w:sz w:val="24"/>
          <w:szCs w:val="24"/>
        </w:rPr>
        <w:t xml:space="preserve">ЭЭП обязаны подать тарифную заявку в ДТЭК до 1-ого октября каждого года для установления тарифов на следующий тарифный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r>
        <w:rPr>
          <w:rFonts w:ascii="Arial" w:cs="Arial" w:eastAsia="Arial" w:hAnsi="Arial"/>
          <w:sz w:val="24"/>
          <w:szCs w:val="24"/>
        </w:rPr>
        <w:t xml:space="preserve">ДТЭК проверяет комплектность тарифной заявки, письменно информирует ЭЭП о результатах процесса проверки в течении 10-и рабочих дней со дня получения тарифной заявки.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необходимых документов тарифная заявка ЭЭП не рассматривается. Отказ в рассмотрении документов направляется ЭЭП не позднее 10 рабочих дней с момента их поступления в уполномоченный орган и должен содержать перечень недостающей информации согласно пункту 7 настоящей Методики. При этом документы (расчетные материалы) субъекту не возвращаются. В таких случаях ЭЭП устраняет недостатки и подает обновленную тарифную заявку в ДТЭК. ЭЭП ссылается на документы, приложенные к предыдущей тарифной заявке, если представленные в них данные не изменились на момент подачи обновленной тарифной заявки. ЭЭП должны представить обновленные тарифные заявки в ДТЭК не позднее до 1-ого ноября.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r>
        <w:rPr>
          <w:rFonts w:ascii="Arial" w:cs="Arial" w:eastAsia="Arial" w:hAnsi="Arial"/>
          <w:sz w:val="24"/>
          <w:szCs w:val="24"/>
        </w:rPr>
        <w:t xml:space="preserve">Принятая тарифная заявка рассматривается в течение одного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При рассмотрении тарифной заявки учитывается целесообразность включения затрат ЭЭП в расчет тарифов и их возмещение со стороны потребителей. Целесообразными считаются затраты, которые имеют обоснования, являются рациональными и необходимыми для предоставления услуг и обслуживания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r>
        <w:rPr>
          <w:rFonts w:ascii="Arial" w:cs="Arial" w:eastAsia="Arial" w:hAnsi="Arial"/>
          <w:sz w:val="24"/>
          <w:szCs w:val="24"/>
        </w:rPr>
        <w:t xml:space="preserve">В случае принятия, в соответствии с пунктом 64 настоящей методики, решения о пересмотре тарифов на электрическую энергию для конечных потребителей выполняются следующие мероприятия: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целях ознакомления заинтересованных сторон, в том числе организаций по защите прав потребителей и представления предложений, тарифная заявка публикуется на официальном интернет сайте ДТЭК;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 представления заинтересованным сторонам обоснований и разъяснений, приведенных в тарифной заявке, НЭСК организуют открытое общественное слушание. Время и место проведения общественных слушаний объявляются как минимум за 3 рабочих дня до даты проведения;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за 15 рабочих дней до дня представления проекта решения о новых тарифах на утверждение, расчеты предложенных тарифов, подготовленные ДТЭК, размещаются на его интернет-сайте;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после публикации на интернет-сайте расчетов, предложенных тарифов, ДТЭК организует открытое общественное слушание проекта решения для представления заинтересованным сторонам, в том числе организациям по защите прав потребителей возможности внести свои предложения и получить разъяснения.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sz w:val="24"/>
          <w:szCs w:val="24"/>
        </w:rPr>
        <w:t xml:space="preserve">ДТЭК пересматривает тарифы на электрическую энергию для ЭЭП на основе результатов экономической деятельности ЭЭП, инвестиционных программ (капитальных вложений) и требований к качеству обслуживания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r>
        <w:rPr>
          <w:rFonts w:ascii="Arial" w:cs="Arial" w:eastAsia="Arial" w:hAnsi="Arial"/>
          <w:sz w:val="24"/>
          <w:szCs w:val="24"/>
        </w:rPr>
        <w:t xml:space="preserve">В случае возникновения обстоятельств, которые влияют на предоставление потребителям качественных услуг по экономически обоснованным ценам, ЭЭП подают тарифную заявку на пересмотр ранее установленных тарифов на электрическую энергию не ранее шести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20. Ответственность за нарушение настоящей Методики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r>
        <w:rPr>
          <w:rFonts w:ascii="Arial" w:cs="Arial" w:eastAsia="Arial" w:hAnsi="Arial"/>
          <w:sz w:val="24"/>
          <w:szCs w:val="24"/>
        </w:rPr>
        <w:t xml:space="preserve">ЭЭП несут ответственность за несоблюдение требований, установленных настоящей Методикой, предусмотренную Кодексом Кыргызской Республики о правонарушениях и Законом Кыргызской Республики «О естественных монополиях в Кыргызской Республике».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нарушениям Методики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завышение (занижение) регулируемых тарифов (цен) на продукцию (работы, услуги), установленные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применение непредусмотренных надбавок, наценок к тарифам (ценам) при наличии установленных;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включение в стоимость продукции (работ, услуг) фактически невыполненных работ или выполненных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использование не по назначению средств, начисленных за счет себестоимости продукции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включение в стоимость продукции (работ, услуг) затрат выше утвержденных норм (расход топлива, ГСМ, потери) и/или фактически сложившихся за ряд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завышение статей затрат при формировании стоимости продукции (работ, услуг) установленное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занижение (завышение) удельного веса фактической зарплаты на единицу продукции (работ, услуг) по сравнению с закладываемыми объемами при согласовании, установленное в ходе мониторинга (проверки) затрат, проводимых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непредставление ДТЭК материалов на установление тарифов (цен) или представление с нарушением требований, установленных настоящей Методикой;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реализация продукции (работ, услуг) по тарифам (ценам), не установленным ДТЭК;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отсутствие раздельного учета затрат, доходов и активов, задействованных по каждому виду регулируемой продукции (работ, услуг), а также установленных настоящей Методикой новых статей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r>
        <w:rPr>
          <w:rFonts w:ascii="Arial" w:cs="Arial" w:eastAsia="Arial" w:hAnsi="Arial"/>
          <w:sz w:val="24"/>
          <w:szCs w:val="24"/>
        </w:rPr>
        <w:t xml:space="preserve">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r>
        <w:rPr>
          <w:rFonts w:ascii="Arial" w:cs="Arial" w:eastAsia="Arial" w:hAnsi="Arial"/>
          <w:sz w:val="24"/>
          <w:szCs w:val="24"/>
        </w:rPr>
        <w:t xml:space="preserve">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статьей 37 Кодекса Кыргызской Республики о неналоговых доходах.». Факты нарушений настоящей Методики, выявленные другими контролирующими органами, и материалы по ним направляются в ДТЭК для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sz w:val="24"/>
          <w:szCs w:val="24"/>
        </w:rPr>
        <w:t xml:space="preserve">Факты нарушений настоящей Методики, выявленные другими контролирующими органами, и материалы по ним направляются в ДТЭК для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суммы незаконно полученного дохода в результате нарушения настоящей Методики, по решению ДТЭК подлежат взысканию 25 процентов от суммы среднемесячного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r>
        <w:rPr>
          <w:rFonts w:ascii="Arial" w:cs="Arial" w:eastAsia="Arial" w:hAnsi="Arial"/>
          <w:sz w:val="24"/>
          <w:szCs w:val="24"/>
        </w:rPr>
        <w:t xml:space="preserve">За не предоставление материалов для установления тарифов (цен) ДТЭК выдает соответствующее предписание. В случае невыполнения требований предписания применяются меры в соответствии с Кодексом Кыргызской Республики о правонарушениях.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Решение ДТЭК о перечислении полученного дополнительного дохода может быть обжаловано в соответствии с Законом Кыргызской Республике «Об основах административной деятельности и административных процедурах».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bbuxnqczd_8ilw38d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dalil.kg/document/230001204</w:t>
      </w:r>
    </w:hyperlink>
  </w:p>
  <w:p>
    <w:pPr>
      <w:spacing w:after="0" w:before="40"/>
      <w:jc w:val="center"/>
    </w:pPr>
    <w:hyperlink w:history="1" r:id="rIdo9tt-0vskzmshll3tt4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zfbtpkinspadqaie-ak" Type="http://schemas.openxmlformats.org/officeDocument/2006/relationships/hyperlink" Target="https://dalil.kg/document/230001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bbuxnqczd_8ilw38ddy" Type="http://schemas.openxmlformats.org/officeDocument/2006/relationships/hyperlink" Target="https://dalil.kg/document/230001204" TargetMode="External"/><Relationship Id="rIdo9tt-0vskzmshll3tt4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2026-09-24T14:03:22.437Z</dcterms:created>
  <dcterms:modified xsi:type="dcterms:W3CDTF">2026-09-24T14:03:22.437Z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