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-fqkvvrz3lpx2ss_ypj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февраля 2026 года № 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7 февраля 2024 года № 52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организации деятельности исполнительных 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органов местного самоуправления 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Кыргызской Республики в период проведения 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административно-территориальной реформы 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в пилотном режиме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nyynufh0z6m0wb1qp8sk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2024 года № 192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n4iqitffhud4tgqyq-n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мая 2024 года № 278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gmpqwhus7qhastim3ed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июня 2024 года № 303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zcyoffocd8uzuh1nxik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июля 2025 года № 419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m-0fh3nexrpaiicgjwm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декабря 2025 года № 812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uzi6r2ch2evto-gak0c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2026 года № 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реализации указов Президента Кыргызской Республики "О дальнейших мерах по совершенствованию административно-территориального устройства и развитию регионов Кыргызской Республики" от </w:t>
      </w:r>
      <w:hyperlink w:history="1" r:id="rId3wgqex-2ogem3m2htt-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октября 2022 года № 350</w:t>
        </w:r>
      </w:hyperlink>
      <w:r>
        <w:rPr>
          <w:rFonts w:ascii="Arial" w:cs="Arial" w:eastAsia="Arial" w:hAnsi="Arial"/>
          <w:sz w:val="24"/>
          <w:szCs w:val="24"/>
        </w:rPr>
        <w:t xml:space="preserve">, "О проведении административно-территориальной реформы на уровне айылных аймаков и городов Кыргызской Республики" от </w:t>
      </w:r>
      <w:hyperlink w:history="1" r:id="rId3lwre11dunqdbvqx6-h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декабря 2023 года № 370</w:t>
        </w:r>
      </w:hyperlink>
      <w:r>
        <w:rPr>
          <w:rFonts w:ascii="Arial" w:cs="Arial" w:eastAsia="Arial" w:hAnsi="Arial"/>
          <w:sz w:val="24"/>
          <w:szCs w:val="24"/>
        </w:rPr>
        <w:t xml:space="preserve">, в целях эффективной организации деятельности исполнительных органов местного самоуправления в период проведения административно-территориальной реформы в пилотном режиме, руководствуясь </w:t>
      </w:r>
      <w:hyperlink w:history="1" r:id="rId7swi6se8ar9jhbjlimz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t7vuedxuhzkftwj5qn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Временное положение</w:t>
      </w:r>
      <w:r>
        <w:rPr>
          <w:rFonts w:ascii="Arial" w:cs="Arial" w:eastAsia="Arial" w:hAnsi="Arial"/>
          <w:sz w:val="24"/>
          <w:szCs w:val="24"/>
        </w:rPr>
        <w:t xml:space="preserve"> об организации деятельности исполнительных органов местного самоуправления Кыргызской Республики в период административно-территориальной реформы в пилотном режиме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предельную штатную численность айыл окмоту согласно </w:t>
      </w:r>
      <w:hyperlink w:history="1" r:id="rIdx3qtfsvubmigklfowe_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предельную штатную численность мэрий городов областного и районного значения согласно </w:t>
      </w:r>
      <w:hyperlink w:history="1" r:id="rIdy95lvh4q6qq0vhilrm_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d0llgaoxom4lgmnrambs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16 июля 2025 года № 419)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предельную штатную численность местных кенешей (городских кенешей городов областного и районного значения, айылных кенешей) согласно </w:t>
      </w:r>
      <w:hyperlink w:history="1" r:id="rIdp4ic58b5ellwkxkgjfn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соответствии с </w:t>
      </w:r>
      <w:hyperlink w:history="1" r:id="rIdngosb8253ynlohpyd8sh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30 января 2026 года № 41)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типовую структуру айыл окмоту согласно </w:t>
      </w:r>
      <w:hyperlink w:history="1" r:id="rId9avbseiuldlwzq7wavx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7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типовую структуру мэрий городов областного и районного значения согласно </w:t>
      </w:r>
      <w:hyperlink w:history="1" r:id="rIdt9kj7yafaioz-y9kzzy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8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egepvhm1_7z5xbbbdghi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16 июля 2025 года № 419)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типовую форму штатного расписания органов местного самоуправления согласно </w:t>
      </w:r>
      <w:hyperlink w:history="1" r:id="rIdwr9ifpubqsgdmjygsxz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10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Кыргызской Республики от </w:t>
      </w:r>
      <w:hyperlink w:history="1" r:id="rIdnwclkfbl3ohym5d7mozm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июля 2025 года № 419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znpikjh1dcx01wrafgt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2026 года № 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мэры городов, на территории которых осуществляется административно-территориальная реформа в пилотном режиме, наделяются полномочиями по утверждению местных бюджетов, норм потребления и тарифов на коммунальные услуги и товары, предоставляемые органами местного самоуправления, тарифов на перевозку пассажиров автомобильным транспортом общего 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по вышеуказанным вопросам подлежат включению в Государственный реестр нормативных правовых актов Кыргызской Республики в соответствии с абзацем вторым пункта 5 </w:t>
      </w:r>
      <w:hyperlink w:history="1" r:id="rIdomchscycaem2d6miuhe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о порядке ведения Государственного реестра нормативных правовых актов Кыргызской Республики, утвержденного </w:t>
      </w:r>
      <w:hyperlink w:history="1" r:id="rIdrt3uwg5agucyn2c4psx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Правительства Кыргызской Республики "О порядке ведения Государственного реестра нормативных правовых актов Кыргызской Республики" от 8 декабря 2009 года № 743.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hhjgby4zwft-zlc_bz4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2024 года № 192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срок до 1 марта 2024 года разработать и реализовать механизм исполнения местного бюджета айылных аймаков и городов, в которых проводится административно-территориальная реформа в пилотном режиме, на 2024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выделить Государственному агентству по земельным ресурсам, кадастру, геодезии и картографии при Кабинете Министров Кыргызской Республики дополнительные средства из республиканского бюджета для подготовки схематических карт вновь образованных административно-территориальных единиц;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сохранение объема расходов по защищенным статьям на 3 года на уровне, утвержденном </w:t>
      </w:r>
      <w:hyperlink w:history="1" r:id="rIdesyt63btcsg7nuy7tyl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2024 год и плановый период 2025-2026 годов";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разработать компенсационные меры по возможному выпадению объемов выравнивающих трансфертов и других доходов на 2024 год и последующие годы в айылных аймаках и городах, в которых проводится административно-территориальная реформа в пилотном режиме, с учетом финансирования развития присоединяемых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обеспечить финансирование из республиканского бюджета расходов на содержание образовательных организаций, расположенных на присоединяемых к городам территориях, на 2024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экономики и коммерции Кыргызской Республики оказать практическую и методическую помощь органам местного самоуправления в разработке программ социально-экономического развития айылных аймаков и городов и принять необходимые меры по привлечению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юстиции Кыргызской Республики организовать регистрацию/перерегистрацию органов местного самоуправления и муниципальных предприятий в порядке, определенном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водных ресурсов, сельского хозяйства и перерабатывающей промышленности Кыргызской Республики передать в установленном законодательством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айыл окмоту объединенных айылных аймаков вопросы управления и пользования пастбищными угодьями, использования внутрихозяйственных ирригационных систем, содержания и распределения воды лицам, владеющим и использующим орошаемые земли на договорных условиях;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мэриям городов - вопросы использования внутрихозяйственных ирригационных систем, содержания и распределения воды лицам, владеющим и использующим орошаемые земли на договорных условиях.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культуры, информации, спорта и молодежной политики Кыргызской Республики передать исполнительным органам местного самоуправления полномочия по приему на работу и освобождению от должностей работников Министерства культуры, информации, спорта и молодежной политики Кыргызской Республики, осуществляющих профессиональную служебную деятельность на постоянной основе и получающих заработную плату из 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Государственному агентству архитектуры, строительства и жилищно-коммунального хозяйства при Кабинете Министров Кыргызской Республики оказать содействие органам местного самоуправления в разработке и утверждении генеральных планов развития территории и населенных пунктов.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Государственному агентству по делам государственной службы и местного самоуправления при Кабинете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совместно с Министерством экономики и коммерции Кыргызской Республики, аппаратами полномочных представителей Президента Кыргызской Республики в областях, мэриями городов Бишкек и Ош с привлечением представителей заинтересованных министерств и ведомств организовать обучающие мероприятия для глав местных государственных администраций, руководителей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организовать работы по зачислению в резерв кадров освобожденных глав айыл окмоту (муниципальный резерв или резерв органов местного самоуправления), сокращенных сотрудников органа местного самоуправления (резерв органов местного самоуправления).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Государственному агентству по земельным ресурсам, кадастру, геодезии и картографии при Кабинете Министров Кыргызской Республики обеспечить проведение работ по разработке схематических карт, вновь образованных айылных аймаков и городов с указанием (описанием) границ и других географических сведений за счет средств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Министерствам, государственному комитету и административным ведомствам в рамках административно-территориальной реформы в пилотном режиме: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выполнение в полном объеме обязательств по программам и проектам, реализуемым на территории айылных аймаков и городов, за счет средств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пересмотреть и оптимизировать структуры и функции территориальных и подведомственных подразделений с учетом укрупнения айылных аймаков и городов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Аппаратам полномочных представителей Президента Кыргызской Республики в областях, местным государственным администрациям, органам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организацию деятельности органов местного самоуправления на соответствующих территориях в соответствии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проведение работ по разработке схематических карт вновь образованных айылных аймаков и городов с указанием границ и других географических сведений;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организовать в установленном законодательством порядке передачу движимого и недвижимого имущества, материальных и нематериальных активов, пассивов, финансовых средств, находящихся в ведении объединенных и присоединенных айылных аймаков, населенных пунктов, в города и айылные аймаки;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организовать проведение регистрации/перерегистрации органов местного самоуправления в порядке, определенном Кабинетом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принять необходимые меры по трудоустройству сокращенных руководителей органов местного самоуправления, муниципальных служащих, работников младшего и технического обслуживающего персонала в соответствии с трудовым законодательством и законодательством государственной гражданской службы и муниципальной службы в результате проведения административно-территориальной реформы в пилотном режиме.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Главам исполнительных органов, входящих в состав объединенных айыл окмоту, а также присоединенных к городам: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приостановить до 1 марта 2024 года финансирование расходов местных бюджетов, за исключением обязательств по защищенным статьям и расходов на коммунальные услуги и товары;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приостановить до 1 апреля 2024 года передачу, предоставление физическим, юридическим лицам движимого и недвижимого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проработать вопрос о передаче органам местного самоуправления имущества, принадлежащего сельским общественным объединениям потребителей питьевой воды.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Рекомендовать органам местного самоуправления разработать и утвердить штатное расписание и структуру согласно </w:t>
      </w:r>
      <w:hyperlink w:history="1" r:id="rIdsbbvrisopl4crxprplu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приложениям 2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4khyyosrrofmz4s3bcx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rgkg2k57qrjqq2z49g7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типовой структуры и штатной численности исполнительного органа местного самоуправления Кыргызской Республики" от 5 августа 2011 года № 451;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qhjr6hy4tamayewczbl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типовых структур и штатной численности аппаратов городских кенешей городов республиканского, областного, районного значения Кыргызской Республики" от 5 августа 2011 года № 452;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wbf3mb0zcrciw__nhym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4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 "О ликвидации аппаратов районных кенешей" от 29 ноября 2012 года № 802;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h0hbamvrmjbhwsejg76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e2kwxi89iu_azwdqdoh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типовой структуры и штатной численности исполнительного органа местного самоуправления Кыргызской Республики" от 5 августа 2011 года № 451" от 8 июля 2013 года № 403;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chinbwkvkwczrtwxkug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</w:t>
      </w:r>
      <w:hyperlink w:history="1" r:id="rIdgfljeywwdu5nsoghsp5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типовых структур и штатной численности аппаратов городских кенешей городов республиканского, областного, районного значения Кыргызской Республики" от 5 августа 2011 года № 452" от 15 сентября 2014 года № 532;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wl7p5apsmkbuped504_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 "О внесении изменений и дополнений в некоторые решения Правительства Кыргызской Республики" от 13 декабря 2016 года № 669;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постановление Правительства Кыргызской Республики "О внесении изменения в </w:t>
      </w:r>
      <w:hyperlink w:history="1" r:id="rIdp_jvgcesffwa1eucilc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типовой структуры и штатной численности исполнительного органа местного самоуправления Кыргызской Республики" от 5 августа 2011 года № 451" от 27 октября 2020 года № 518;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nyedy2d35kz--tf9_3u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Кабинета Министров Кыргызской Республики "Об утверждении типовой структуры, штатного расписания, нормативов и численности мэрий и городских кенешей городов республиканского значения" от 1 августа 2022 года № 422;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vg4fqvibsjcaaftvyis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организации деятельности айыл окмоту и штатной численности органов местного самоуправления в регионах Кыргызской Республики, в которых на уровне айылных аймаков проводится административно-территориальная реформа в пилотном режиме" от 30 марта 2023 года № 177;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tbhpxlpsy2pdc6zk54z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hyperlink w:history="1" r:id="rIduqwhz7li0e8x6xjiipj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организации деятельности айыл окмоту и штатной численности органов местного самоуправления в регионах Кыргызской Республики, в которых на уровне айылных аймаков проводится административно-территориальная реформа в пилотном режиме" от 30 марта 2023 года № 177" от 24 июля 2023 года № 369.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Опубликовано в газете "Эркин Тоо" от 13 февраля 2024 года №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Предельная штатная численность айыл окмоту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wcqj_3699uykewmyx8g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мая 2024 года № 278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9"/>
        <w:gridCol w:w="4456"/>
        <w:gridCol w:w="1768"/>
        <w:gridCol w:w="1768"/>
        <w:gridCol w:w="1768"/>
      </w:tblGrid>
      <w:tr>
        <w:tc>
          <w:tcPr>
            <w:tcW w:type="dxa" w:w="41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445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5304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Штатная численность при численности населения (тыс. чел.)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 10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10 до 25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свыше 25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айыл окмоту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главы - ответственный секретарь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7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Технический и младший обслуживающий персонал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87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</w:t>
            </w:r>
          </w:p>
        </w:tc>
      </w:tr>
    </w:tbl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Исходя из целесообразности, потребностей, целей, специфики и численности населения айылного аймака, айыл окмоту, помимо общей численности штата, на контрактной основе могут принять дополнительные штатные единицы. Для распределения функций по управлению и использованию государственных пастбищ, эксплуатации внутрихозяйственных ирригационных систем, распределению воды на договорных условиях лицам, владеющим и пользующимся орошаемыми землями, обеспечению выполнения требований о всеобщей воинской обязанности и для других целей, помимо общей численности штата, дополнительно на контрактной основе могут быть приняты: с численностью населения до 10 тыс. человек - до 4 сотрудников, с численностью населения до 25 тыс. человек - до 6 сотрудников, свыше 25 тыс. человек - до 8 сотрудников.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Государственные полномочия могут быть делегированы айыл окмоту на контрактной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каждом населенном пункте, за исключением населенного пункта, являющегося административным центром айылного аймака, на контрактной основе может быть предусмотрена должность айыл башчысы.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обеспечения сохранности высвободившихся административных зданий, объединенных айыл окмоту могут предусмотреть штатную единицу в категории младший обслуживающий персонал.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Предлагаемые функциональные обязанности штатных работников айыл окмоту, помимо вопросов местного значения: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ведущий/главный специалист по общественной безопасности: работа с административными нарушениями, экологическими нарушениями, семейным насилием, религиозным радикализмом, отслеживание криминогенной обстановки, пробации, соблюдение земельного законодательства, норм санитарно-эпидемиологического законодательства и др.;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ведущий/главный специалист по общественному здравоохранению: работа с ЛОВЗ, беременными, хроническими больными, по санитарии и гигиене на территории, формированию здорового образа жизни, учету больных с опасными для жизни заболеваниями и т.д.;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специалист по животноводству - координация вопросов по поголовью домашнего скота, вакцинации, племенному хозяйству, </w:t>
      </w:r>
      <w:r>
        <w:rPr>
          <w:rFonts w:ascii="Arial" w:cs="Arial" w:eastAsia="Arial" w:hAnsi="Arial"/>
          <w:sz w:val="24"/>
          <w:szCs w:val="24"/>
        </w:rPr>
        <w:t xml:space="preserve">статистическому учету и аналитике</w:t>
      </w:r>
      <w:r>
        <w:rPr>
          <w:rFonts w:ascii="Arial" w:cs="Arial" w:eastAsia="Arial" w:hAnsi="Arial"/>
          <w:sz w:val="24"/>
          <w:szCs w:val="24"/>
        </w:rPr>
        <w:t xml:space="preserve">, маркированию домашнего скота, эпизоотии скота, сбыту животноводческой продукции, переработке мяса, молока, шерсти, работа с пастбищепользователями и т.д.;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ведущий/главный специалист по земельным ресурсам и растениеводству: учет земельных ресурсов на территории, Государственного фонда сельхозугодий, эффективное использование сельхозугодий, муниципальных земель несельскохозяйственного назначения, трансформация земель, </w:t>
      </w:r>
      <w:r>
        <w:rPr>
          <w:rFonts w:ascii="Arial" w:cs="Arial" w:eastAsia="Arial" w:hAnsi="Arial"/>
          <w:sz w:val="24"/>
          <w:szCs w:val="24"/>
        </w:rPr>
        <w:t xml:space="preserve">статистический учет и аналитика,</w:t>
      </w:r>
      <w:r>
        <w:rPr>
          <w:rFonts w:ascii="Arial" w:cs="Arial" w:eastAsia="Arial" w:hAnsi="Arial"/>
          <w:sz w:val="24"/>
          <w:szCs w:val="24"/>
        </w:rPr>
        <w:t xml:space="preserve"> контроль за соблюдением земельного законодательства и использованием водных ресурсов, вопросы полива сельскохозяйственных угодий, переработки продуктов растениеводства, заготовки кормов, семенного хозяйства, сбыта продуктов растениеводства и т.д.;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ведущий специалист/специалист по цифровизации и IT технологиям: работа по цифровизации всех сфер деятельности на территории айылного аймака, с приложениями Е-кызмат, Санарип Аймак, СЭД, создание электронной базы данных населения, инфраструктуры, социальных объектов, создание и работа веб-сайта айыльного аймака, развитие цифровой грамотности населения и т.д.;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главный специалист - юрист: организация госзакупок, правовой анализ решений айыл окмоту, вопросы соблюдения прав женщин, детей на территории и всех норм законодательства, помощь населению при обращении в правоохранительные органы, суды и т.д.;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главы айыл окмоту - ответственный секретарь: работа с входящими и исходящими документами, организационная работа по исполнению решений айыл окмоту, айыльного кенеша, поручений вышестоящих органов государственного управления, подготовка отчетов, работа по соблюдению трудового законодательства, привлечению инвестиций, подготовке бизнес-проектов, с заявлениями и прием граждан и т.д.;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глава айыл окмоту: исполнение планов социально-экономического развития (ПСЭР) айылного аймака, организация деятельности муниципальных предприятий (МП) на хозрасчетной основе, обеспечение стабильности и развития на территории и т.д.;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заведующий отделом: разработка и исполнение ПСЭР, мониторинг экономического развития, подготовка экономической отчетности, планов-прогнозов, ведение бухгалтерской отчетности, индикаторов экономического развития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Предельная штатная численность мэрий городов областного и районного значений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2"/>
        <w:gridCol w:w="5036"/>
        <w:gridCol w:w="960"/>
        <w:gridCol w:w="960"/>
        <w:gridCol w:w="960"/>
        <w:gridCol w:w="960"/>
        <w:gridCol w:w="960"/>
      </w:tblGrid>
      <w:tr>
        <w:tc>
          <w:tcPr>
            <w:tcW w:type="dxa" w:w="34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03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80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Штатная численность при численности населения (тыс. чел.)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 15</w:t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15 до 30</w:t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30 до 60</w:t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60 до 100</w:t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свыше 100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</w:t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мэра</w:t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аппарата</w:t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3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(ответработники)</w:t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</w:t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</w:t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</w:t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Технический и младший обслуживающий персонал</w:t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3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(персонал)</w:t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</w:t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</w:t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</w:t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</w:t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</w:t>
            </w:r>
          </w:p>
        </w:tc>
      </w:tr>
    </w:tbl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целесообразности, потребностей, целей, специфики и численности населения города, помимо общей численности штатных единиц мэрии, могут быть приняты дополнительные штатные единицы на контрактной основе с численностью населения до 15 тыс. человек - до 3 сотрудников, до 30 тыс. человек - до 4 сотрудников, до 60 тыс. человек - до 5 сотрудников, свыше 100 тыс. человек - до 6 сотрудников.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Предельная штатная численность местных кенешей
 (городских кенешей городов областного и районного значений, айыльных кенешей)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9"/>
        <w:gridCol w:w="1274"/>
        <w:gridCol w:w="2878"/>
        <w:gridCol w:w="2878"/>
        <w:gridCol w:w="2878"/>
      </w:tblGrid>
      <w:tr>
        <w:tc>
          <w:tcPr>
            <w:tcW w:type="dxa" w:w="2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2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8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 для айыльных аймаков и городов с численностью населения от 6001 до 20000 чел.</w:t>
            </w:r>
          </w:p>
        </w:tc>
        <w:tc>
          <w:tcPr>
            <w:tcW w:type="dxa" w:w="28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 для айыльных аймаков и городов с численностью населения от 20001 до 100000 чел.</w:t>
            </w:r>
          </w:p>
        </w:tc>
        <w:tc>
          <w:tcPr>
            <w:tcW w:type="dxa" w:w="28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 для айыльных аймаков и городов с численностью населения свыше 100000 чел.</w:t>
            </w:r>
          </w:p>
        </w:tc>
      </w:tr>
      <w:tr>
        <w:tc>
          <w:tcPr>
            <w:tcW w:type="dxa" w:w="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  <w:tc>
          <w:tcPr>
            <w:tcW w:type="dxa" w:w="2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секретарь</w:t>
            </w:r>
          </w:p>
        </w:tc>
        <w:tc>
          <w:tcPr>
            <w:tcW w:type="dxa" w:w="2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2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2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2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</w:t>
            </w:r>
          </w:p>
        </w:tc>
        <w:tc>
          <w:tcPr>
            <w:tcW w:type="dxa" w:w="2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2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2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2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</w:tr>
    </w:tbl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Решением местного кенеша может быть введена одна штатная единица секретаря-делопроизводителя, при наличии служебного автомобиля - одна штатная единица водителя. Ведение бухгалтерского учета и отчетности местного кенеша осуществляется главным бухгалтером мэрии/айыл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Ответственный секретарь айылного кенеша дополнительно исполняет обязанности ответственного секретаря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Типовая структура айыл окмоту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Типовая структура мэрии городов областного и районного значений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Должность второго заместителя мэра вводится при численности населения города свыше 60 тыс. человек, второй отдел вводится при численности населения свыше 60 тыс. человек, третий заместитель мэра и второй сектор вводится при численности населения свыше 100 тыс. человек. При этом штатная единица в структуре может меняться, исходя из количества населения 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Утверждаю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Мэр/Глава айыл окмоту
 _________________________________
 _________________________________
 (ФИО)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"____" _________________ 202__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Типовая форма штатного расписания органа местного самоуправления
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_______________________________________________________
 (наименование ОМСУ)</w:t>
      </w:r>
    </w:p>
    <w:p>
      <w:pPr>
        <w:spacing w:after="120" w:before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(в сомах)
 _______________________________________________________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9"/>
        <w:gridCol w:w="621"/>
        <w:gridCol w:w="234"/>
        <w:gridCol w:w="560"/>
        <w:gridCol w:w="464"/>
        <w:gridCol w:w="539"/>
        <w:gridCol w:w="539"/>
        <w:gridCol w:w="539"/>
        <w:gridCol w:w="523"/>
        <w:gridCol w:w="316"/>
        <w:gridCol w:w="316"/>
        <w:gridCol w:w="316"/>
        <w:gridCol w:w="316"/>
        <w:gridCol w:w="316"/>
        <w:gridCol w:w="316"/>
        <w:gridCol w:w="316"/>
        <w:gridCol w:w="316"/>
        <w:gridCol w:w="316"/>
        <w:gridCol w:w="316"/>
        <w:gridCol w:w="383"/>
        <w:gridCol w:w="383"/>
        <w:gridCol w:w="374"/>
        <w:gridCol w:w="342"/>
        <w:gridCol w:w="285"/>
        <w:gridCol w:w="387"/>
        <w:gridCol w:w="407"/>
        <w:gridCol w:w="289"/>
      </w:tblGrid>
      <w:tr>
        <w:tc>
          <w:tcPr>
            <w:tcW w:type="dxa" w:w="14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2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 в Реестре муниципальных должностей</w:t>
            </w:r>
          </w:p>
        </w:tc>
        <w:tc>
          <w:tcPr>
            <w:tcW w:type="dxa" w:w="23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56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6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единиц</w:t>
            </w:r>
          </w:p>
        </w:tc>
        <w:tc>
          <w:tcPr>
            <w:tcW w:type="dxa" w:w="53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Минимальная базовая ставка</w:t>
            </w:r>
          </w:p>
        </w:tc>
        <w:tc>
          <w:tcPr>
            <w:tcW w:type="dxa" w:w="53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 кратности</w:t>
            </w:r>
          </w:p>
        </w:tc>
        <w:tc>
          <w:tcPr>
            <w:tcW w:type="dxa" w:w="53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Поправочный коэффициент</w:t>
            </w:r>
          </w:p>
        </w:tc>
        <w:tc>
          <w:tcPr>
            <w:tcW w:type="dxa" w:w="52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Должностной оклад</w:t>
            </w:r>
          </w:p>
        </w:tc>
        <w:tc>
          <w:tcPr>
            <w:tcW w:type="dxa" w:w="3160"/>
            <w:gridSpan w:val="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Надбавки и доплаты</w:t>
            </w:r>
          </w:p>
        </w:tc>
        <w:tc>
          <w:tcPr>
            <w:tcW w:type="dxa" w:w="38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месячная заработная плата</w:t>
            </w:r>
          </w:p>
        </w:tc>
        <w:tc>
          <w:tcPr>
            <w:tcW w:type="dxa" w:w="38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месячная заработная плата</w:t>
            </w:r>
          </w:p>
        </w:tc>
        <w:tc>
          <w:tcPr>
            <w:tcW w:type="dxa" w:w="37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Отпускные</w:t>
            </w:r>
          </w:p>
        </w:tc>
        <w:tc>
          <w:tcPr>
            <w:tcW w:type="dxa" w:w="34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лечебных пособия к отпуску</w:t>
            </w:r>
          </w:p>
        </w:tc>
        <w:tc>
          <w:tcPr>
            <w:tcW w:type="dxa" w:w="28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Премии</w:t>
            </w:r>
          </w:p>
        </w:tc>
        <w:tc>
          <w:tcPr>
            <w:tcW w:type="dxa" w:w="38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Годовой фонд заработной платы</w:t>
            </w:r>
          </w:p>
        </w:tc>
        <w:tc>
          <w:tcPr>
            <w:tcW w:type="dxa" w:w="40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Отчисления в Соцфонд</w:t>
            </w:r>
          </w:p>
        </w:tc>
        <w:tc>
          <w:tcPr>
            <w:tcW w:type="dxa" w:w="28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Годовой фонд оплаты труда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Надбавка за выслугу лет</w:t>
            </w:r>
          </w:p>
        </w:tc>
        <w:tc>
          <w:tcPr>
            <w:tcW w:type="dxa" w:w="6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Классный чин</w:t>
            </w:r>
          </w:p>
        </w:tc>
        <w:tc>
          <w:tcPr>
            <w:tcW w:type="dxa" w:w="6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Надбавка за стаж работы в условиях высокогорья и отдаленных труднодоступных зонах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Надбавка за ученую степень</w:t>
            </w:r>
          </w:p>
        </w:tc>
        <w:tc>
          <w:tcPr>
            <w:tcW w:type="dxa" w:w="6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Надбавка к должностным окладам за секретный характер работы</w:t>
            </w:r>
          </w:p>
        </w:tc>
        <w:tc>
          <w:tcPr>
            <w:tcW w:type="dxa" w:w="6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Иные надбавки и доплаты (добавить наименование)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</w:tr>
      <w:tr>
        <w:tc>
          <w:tcPr>
            <w:tcW w:type="dxa" w:w="1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tcW w:type="dxa" w:w="1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Главный бухгалтер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
 (ФИО)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Ответственный секретарь/руководитель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
 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-fqkvvrz3lpx2ss_ypjo" Type="http://schemas.openxmlformats.org/officeDocument/2006/relationships/hyperlink" Target="http://kodeks.duckdns.org/document/230039816" TargetMode="External"/><Relationship Id="rIdnyynufh0z6m0wb1qp8sk-" Type="http://schemas.openxmlformats.org/officeDocument/2006/relationships/hyperlink" Target="http://kodeks.duckdns.org/document/230005150" TargetMode="External"/><Relationship Id="rIden4iqitffhud4tgqyq-nb" Type="http://schemas.openxmlformats.org/officeDocument/2006/relationships/hyperlink" Target="http://kodeks.duckdns.org/document/230008690" TargetMode="External"/><Relationship Id="rIdugmpqwhus7qhastim3edd" Type="http://schemas.openxmlformats.org/officeDocument/2006/relationships/hyperlink" Target="http://kodeks.duckdns.org/document/230008675" TargetMode="External"/><Relationship Id="rId3zcyoffocd8uzuh1nxik1" Type="http://schemas.openxmlformats.org/officeDocument/2006/relationships/hyperlink" Target="http://kodeks.duckdns.org/document/230029459" TargetMode="External"/><Relationship Id="rIdrm-0fh3nexrpaiicgjwmh" Type="http://schemas.openxmlformats.org/officeDocument/2006/relationships/hyperlink" Target="http://kodeks.duckdns.org/document/230038007" TargetMode="External"/><Relationship Id="rIdyuzi6r2ch2evto-gak0c4" Type="http://schemas.openxmlformats.org/officeDocument/2006/relationships/hyperlink" Target="http://kodeks.duckdns.org/document/230039191" TargetMode="External"/><Relationship Id="rId3wgqex-2ogem3m2htt-gg" Type="http://schemas.openxmlformats.org/officeDocument/2006/relationships/hyperlink" Target="http://kodeks.duckdns.org/document/434830" TargetMode="External"/><Relationship Id="rId3lwre11dunqdbvqx6-hjk" Type="http://schemas.openxmlformats.org/officeDocument/2006/relationships/hyperlink" Target="http://kodeks.duckdns.org/document/230001854" TargetMode="External"/><Relationship Id="rId7swi6se8ar9jhbjlimz1j" Type="http://schemas.openxmlformats.org/officeDocument/2006/relationships/hyperlink" Target="http://kodeks.duckdns.org/document/112301#st_13" TargetMode="External"/><Relationship Id="rId5t7vuedxuhzkftwj5qna_" Type="http://schemas.openxmlformats.org/officeDocument/2006/relationships/hyperlink" Target="http://kodeks.duckdns.org/document/112301#st_17" TargetMode="External"/><Relationship Id="rIdx3qtfsvubmigklfowe_os" Type="http://schemas.openxmlformats.org/officeDocument/2006/relationships/hyperlink" Target="http://kodeks.duckdns.org/document/230001964#pr2" TargetMode="External"/><Relationship Id="rIdy95lvh4q6qq0vhilrm_za" Type="http://schemas.openxmlformats.org/officeDocument/2006/relationships/hyperlink" Target="http://kodeks.duckdns.org/document/230001964#pr3" TargetMode="External"/><Relationship Id="rIdd0llgaoxom4lgmnrambs_" Type="http://schemas.openxmlformats.org/officeDocument/2006/relationships/hyperlink" Target="http://kodeks.duckdns.org/document/230029459" TargetMode="External"/><Relationship Id="rIdp4ic58b5ellwkxkgjfn8j" Type="http://schemas.openxmlformats.org/officeDocument/2006/relationships/hyperlink" Target="http://kodeks.duckdns.org/document/230001964#pr5" TargetMode="External"/><Relationship Id="rIdngosb8253ynlohpyd8sh-" Type="http://schemas.openxmlformats.org/officeDocument/2006/relationships/hyperlink" Target="http://kodeks.duckdns.org/document/230039191" TargetMode="External"/><Relationship Id="rId9avbseiuldlwzq7wavxhn" Type="http://schemas.openxmlformats.org/officeDocument/2006/relationships/hyperlink" Target="http://kodeks.duckdns.org/document/230001964#pr7" TargetMode="External"/><Relationship Id="rIdt9kj7yafaioz-y9kzzymy" Type="http://schemas.openxmlformats.org/officeDocument/2006/relationships/hyperlink" Target="http://kodeks.duckdns.org/document/230001964#pr8" TargetMode="External"/><Relationship Id="rIdegepvhm1_7z5xbbbdghia" Type="http://schemas.openxmlformats.org/officeDocument/2006/relationships/hyperlink" Target="http://kodeks.duckdns.org/document/230029459" TargetMode="External"/><Relationship Id="rIdwr9ifpubqsgdmjygsxzos" Type="http://schemas.openxmlformats.org/officeDocument/2006/relationships/hyperlink" Target="http://kodeks.duckdns.org/document/230001964#pr10" TargetMode="External"/><Relationship Id="rIdnwclkfbl3ohym5d7mozmo" Type="http://schemas.openxmlformats.org/officeDocument/2006/relationships/hyperlink" Target="http://kodeks.duckdns.org/document/230029459" TargetMode="External"/><Relationship Id="rIdrznpikjh1dcx01wrafgty" Type="http://schemas.openxmlformats.org/officeDocument/2006/relationships/hyperlink" Target="http://kodeks.duckdns.org/document/230039191" TargetMode="External"/><Relationship Id="rIdomchscycaem2d6miuhe4c" Type="http://schemas.openxmlformats.org/officeDocument/2006/relationships/hyperlink" Target="http://kodeks.duckdns.org/document/90486" TargetMode="External"/><Relationship Id="rIdrt3uwg5agucyn2c4psxax" Type="http://schemas.openxmlformats.org/officeDocument/2006/relationships/hyperlink" Target="http://kodeks.duckdns.org/document/90390" TargetMode="External"/><Relationship Id="rIdhhhjgby4zwft-zlc_bz4k" Type="http://schemas.openxmlformats.org/officeDocument/2006/relationships/hyperlink" Target="http://kodeks.duckdns.org/document/230005150" TargetMode="External"/><Relationship Id="rIdesyt63btcsg7nuy7tyluk" Type="http://schemas.openxmlformats.org/officeDocument/2006/relationships/hyperlink" Target="http://kodeks.duckdns.org/document/230000489" TargetMode="External"/><Relationship Id="rIdsbbvrisopl4crxprplux1" Type="http://schemas.openxmlformats.org/officeDocument/2006/relationships/hyperlink" Target="http://kodeks.duckdns.org/document/230001964#pr2" TargetMode="External"/><Relationship Id="rId4khyyosrrofmz4s3bcxqz" Type="http://schemas.openxmlformats.org/officeDocument/2006/relationships/hyperlink" Target="http://kodeks.duckdns.org/document/230001964#pr8" TargetMode="External"/><Relationship Id="rIdrgkg2k57qrjqq2z49g70g" Type="http://schemas.openxmlformats.org/officeDocument/2006/relationships/hyperlink" Target="http://kodeks.duckdns.org/document/92753" TargetMode="External"/><Relationship Id="rIdqhjr6hy4tamayewczblks" Type="http://schemas.openxmlformats.org/officeDocument/2006/relationships/hyperlink" Target="http://kodeks.duckdns.org/document/92754" TargetMode="External"/><Relationship Id="rIdwbf3mb0zcrciw__nhymwc" Type="http://schemas.openxmlformats.org/officeDocument/2006/relationships/hyperlink" Target="http://kodeks.duckdns.org/document/93192" TargetMode="External"/><Relationship Id="rIdh0hbamvrmjbhwsejg76tx" Type="http://schemas.openxmlformats.org/officeDocument/2006/relationships/hyperlink" Target="http://kodeks.duckdns.org/document/94581" TargetMode="External"/><Relationship Id="rIde2kwxi89iu_azwdqdohsi" Type="http://schemas.openxmlformats.org/officeDocument/2006/relationships/hyperlink" Target="http://kodeks.duckdns.org/document/92753" TargetMode="External"/><Relationship Id="rIdchinbwkvkwczrtwxkugqx" Type="http://schemas.openxmlformats.org/officeDocument/2006/relationships/hyperlink" Target="http://kodeks.duckdns.org/document/96985" TargetMode="External"/><Relationship Id="rIdgfljeywwdu5nsoghsp54f" Type="http://schemas.openxmlformats.org/officeDocument/2006/relationships/hyperlink" Target="http://kodeks.duckdns.org/document/92754" TargetMode="External"/><Relationship Id="rIdwl7p5apsmkbuped504_ah" Type="http://schemas.openxmlformats.org/officeDocument/2006/relationships/hyperlink" Target="http://kodeks.duckdns.org/document/99751" TargetMode="External"/><Relationship Id="rIdp_jvgcesffwa1eucilcbq" Type="http://schemas.openxmlformats.org/officeDocument/2006/relationships/hyperlink" Target="http://kodeks.duckdns.org/document/92753" TargetMode="External"/><Relationship Id="rIdnyedy2d35kz--tf9_3ui2" Type="http://schemas.openxmlformats.org/officeDocument/2006/relationships/hyperlink" Target="http://kodeks.duckdns.org/document/159353" TargetMode="External"/><Relationship Id="rIdvg4fqvibsjcaaftvyisoq" Type="http://schemas.openxmlformats.org/officeDocument/2006/relationships/hyperlink" Target="http://kodeks.duckdns.org/document/160083" TargetMode="External"/><Relationship Id="rIdtbhpxlpsy2pdc6zk54zll" Type="http://schemas.openxmlformats.org/officeDocument/2006/relationships/hyperlink" Target="http://kodeks.duckdns.org/document/160316" TargetMode="External"/><Relationship Id="rIduqwhz7li0e8x6xjiipjdm" Type="http://schemas.openxmlformats.org/officeDocument/2006/relationships/hyperlink" Target="http://kodeks.duckdns.org/document/160083" TargetMode="External"/><Relationship Id="rIdnwcqj_3699uykewmyx8gf" Type="http://schemas.openxmlformats.org/officeDocument/2006/relationships/hyperlink" Target="http://kodeks.duckdns.org/document/230008690" TargetMode="External"/><Relationship Id="rId7" Type="http://schemas.openxmlformats.org/officeDocument/2006/relationships/image" Target="media/93bec1c1538034512fe33c1434ae0ea86b639d33.png"/><Relationship Id="rId5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2026-09-23T10:09:48.283Z</dcterms:created>
  <dcterms:modified xsi:type="dcterms:W3CDTF">2026-09-23T10:09:48.283Z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