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2"/>
          <w:szCs w:val="22"/>
        </w:rPr>
        <w:t xml:space="preserve">УТРАТИЛО СИЛУ
  в соответствии с </w:t>
      </w:r>
      <w:hyperlink w:history="1" r:id="rId2yh3sjvasn3kiljnsbuug">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6 марта 2025 года № 118</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16 февраля 2024 года № 61</w:t>
      </w:r>
    </w:p>
    <w:p>
      <w:pPr>
        <w:spacing w:after="200" w:before="200"/>
        <w:jc w:val="both"/>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утверждении жилищной программы Кыргызской Республики "Мой дом 2021-2026" от 13 июля 2021 года № 75</w:t>
      </w:r>
    </w:p>
    <w:p>
      <w:pPr>
        <w:spacing w:after="60"/>
        <w:ind w:firstLine="567"/>
        <w:jc w:val="both"/>
      </w:pPr>
      <w:r>
        <w:rPr>
          <w:rFonts w:ascii="Arial" w:cs="Arial" w:eastAsia="Arial" w:hAnsi="Arial"/>
          <w:sz w:val="24"/>
          <w:szCs w:val="24"/>
        </w:rPr>
        <w:t xml:space="preserve">В целях реализации </w:t>
      </w:r>
      <w:hyperlink w:history="1" r:id="rId0bssnlkxd-ceykn9447sh">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Закона Кыргызской Республики "О государственном ипотечном жилищном кредитовании", в соответствии со статьями </w:t>
      </w:r>
      <w:hyperlink w:history="1" r:id="rIdgzc74cjjv7zxqnehrxbba">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hwy6ee8zvgeoxi7ia-hnv">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Внести в </w:t>
      </w:r>
      <w:hyperlink w:history="1" r:id="rIdvmuqvodahfpqqfk_eo7n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jsle78l_emgpeakghw2kt">
        <w:r>
          <w:rPr>
            <w:rFonts w:ascii="Arial" w:cs="Arial" w:eastAsia="Arial" w:hAnsi="Arial"/>
            <w:color w:val="1D4ED8"/>
            <w:sz w:val="24"/>
            <w:szCs w:val="24"/>
            <w:u w:val="single"/>
          </w:rPr>
          <w:t xml:space="preserve">жилищной программы</w:t>
        </w:r>
      </w:hyperlink>
      <w:r>
        <w:rPr>
          <w:rFonts w:ascii="Arial" w:cs="Arial" w:eastAsia="Arial" w:hAnsi="Arial"/>
          <w:sz w:val="24"/>
          <w:szCs w:val="24"/>
        </w:rPr>
        <w:t xml:space="preserve"> Кыргызской Республики "Мой дом 2021-2026" от 13 июля 2021 года № 75 следующие изменения:</w:t>
      </w:r>
    </w:p>
    <w:p>
      <w:pPr>
        <w:spacing w:after="60"/>
        <w:ind w:firstLine="567"/>
        <w:jc w:val="both"/>
      </w:pPr>
      <w:r>
        <w:rPr>
          <w:rFonts w:ascii="Arial" w:cs="Arial" w:eastAsia="Arial" w:hAnsi="Arial"/>
          <w:sz w:val="24"/>
          <w:szCs w:val="24"/>
        </w:rPr>
        <w:t xml:space="preserve">1) в </w:t>
      </w:r>
      <w:hyperlink w:history="1" r:id="rIdf7j5ypw-5desbvahoxr7f">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 в пункте 16:</w:t>
      </w:r>
    </w:p>
    <w:p>
      <w:pPr>
        <w:spacing w:after="60"/>
        <w:ind w:firstLine="567"/>
        <w:jc w:val="both"/>
      </w:pPr>
      <w:r>
        <w:rPr>
          <w:rFonts w:ascii="Arial" w:cs="Arial" w:eastAsia="Arial" w:hAnsi="Arial"/>
          <w:sz w:val="24"/>
          <w:szCs w:val="24"/>
        </w:rPr>
        <w:t xml:space="preserve">подпункт 2 признать утратившим силу;</w:t>
      </w:r>
    </w:p>
    <w:p>
      <w:pPr>
        <w:spacing w:after="60"/>
        <w:ind w:firstLine="567"/>
        <w:jc w:val="both"/>
      </w:pPr>
      <w:r>
        <w:rPr>
          <w:rFonts w:ascii="Arial" w:cs="Arial" w:eastAsia="Arial" w:hAnsi="Arial"/>
          <w:sz w:val="24"/>
          <w:szCs w:val="24"/>
        </w:rPr>
        <w:t xml:space="preserve">подпункт 3 изложить в следующей редакции:</w:t>
      </w:r>
    </w:p>
    <w:p>
      <w:pPr>
        <w:spacing w:after="60"/>
        <w:ind w:firstLine="567"/>
        <w:jc w:val="both"/>
      </w:pPr>
      <w:r>
        <w:rPr>
          <w:rFonts w:ascii="Arial" w:cs="Arial" w:eastAsia="Arial" w:hAnsi="Arial"/>
          <w:sz w:val="24"/>
          <w:szCs w:val="24"/>
        </w:rPr>
        <w:t xml:space="preserve">"3) увеличение объемов жилищного строительства, в том числе через реализацию инвестиционных проектов с участниками строительной отрасли;";</w:t>
      </w:r>
    </w:p>
    <w:p>
      <w:pPr>
        <w:spacing w:after="60"/>
        <w:ind w:firstLine="567"/>
        <w:jc w:val="both"/>
      </w:pPr>
      <w:r>
        <w:rPr>
          <w:rFonts w:ascii="Arial" w:cs="Arial" w:eastAsia="Arial" w:hAnsi="Arial"/>
          <w:sz w:val="24"/>
          <w:szCs w:val="24"/>
        </w:rPr>
        <w:t xml:space="preserve">- подпункты 4-6 пункта 18 изложить в следующей редакции:</w:t>
      </w:r>
    </w:p>
    <w:p>
      <w:pPr>
        <w:spacing w:after="60"/>
        <w:ind w:firstLine="567"/>
        <w:jc w:val="both"/>
      </w:pPr>
      <w:r>
        <w:rPr>
          <w:rFonts w:ascii="Arial" w:cs="Arial" w:eastAsia="Arial" w:hAnsi="Arial"/>
          <w:sz w:val="24"/>
          <w:szCs w:val="24"/>
        </w:rPr>
        <w:t xml:space="preserve">"4) для повышения привлекательности условий привлечения финансовых средств от инвесторов государственные органы исполнительной власти и органы местного самоуправления предоставляют земельные участки для ГИК, на которых в последующем с использованием различных механизмов, включая реализацию инвестиционных проектов с участниками строительной отрасли, будет осуществляться жилищное строительство, при этом условия инвестиционного конкурса будут опубликованы в открытом доступе на сайте ГИК;</w:t>
      </w:r>
    </w:p>
    <w:p>
      <w:pPr>
        <w:spacing w:after="60"/>
        <w:ind w:firstLine="567"/>
        <w:jc w:val="both"/>
      </w:pPr>
      <w:r>
        <w:rPr>
          <w:rFonts w:ascii="Arial" w:cs="Arial" w:eastAsia="Arial" w:hAnsi="Arial"/>
          <w:sz w:val="24"/>
          <w:szCs w:val="24"/>
        </w:rPr>
        <w:t xml:space="preserve">5) для привлечения дополнительных источников финансирования Программы решением Совета директоров ГИК часть жилищного фонда ГИК будет реализовываться путем метода прямой продажи. При прямой продаже первичного жилья устанавливается ограничение на последующую реализацию жилья сроком до 3 (трех) лет, при прямой продаже вторичного жилья ограничения на последующую реализацию не устанавливаются. Условия прямой продажи, устанавливаемые решением Совета директоров ГИК, будут размещены на сайте ГИК;</w:t>
      </w:r>
    </w:p>
    <w:p>
      <w:pPr>
        <w:spacing w:after="60"/>
        <w:ind w:firstLine="567"/>
        <w:jc w:val="both"/>
      </w:pPr>
      <w:r>
        <w:rPr>
          <w:rFonts w:ascii="Arial" w:cs="Arial" w:eastAsia="Arial" w:hAnsi="Arial"/>
          <w:sz w:val="24"/>
          <w:szCs w:val="24"/>
        </w:rPr>
        <w:t xml:space="preserve">6) строительство посредством реализации инвестиционных проектов с участниками строительной отрасли предусматривает привлечение инвестиций частного сектора для возведения нового жилья или реконструкции старого жилья. Суть механизма заключается в строительстве, эксплуатации и передаче объекта строительства частным партнером (инвестором) ГИК в соответствии с инвестиционным соглашением. Условия инвестиционного соглашения подлежат публикации на сайте ГИК.";</w:t>
      </w:r>
    </w:p>
    <w:p>
      <w:pPr>
        <w:spacing w:after="60"/>
        <w:ind w:firstLine="567"/>
        <w:jc w:val="both"/>
      </w:pPr>
      <w:r>
        <w:rPr>
          <w:rFonts w:ascii="Arial" w:cs="Arial" w:eastAsia="Arial" w:hAnsi="Arial"/>
          <w:sz w:val="24"/>
          <w:szCs w:val="24"/>
        </w:rPr>
        <w:t xml:space="preserve">- пункты 19, 27 признать утратившими силу;</w:t>
      </w:r>
    </w:p>
    <w:p>
      <w:pPr>
        <w:spacing w:after="60"/>
        <w:ind w:firstLine="567"/>
        <w:jc w:val="both"/>
      </w:pPr>
      <w:r>
        <w:rPr>
          <w:rFonts w:ascii="Arial" w:cs="Arial" w:eastAsia="Arial" w:hAnsi="Arial"/>
          <w:sz w:val="24"/>
          <w:szCs w:val="24"/>
        </w:rPr>
        <w:t xml:space="preserve">- подпункт 6 пункта 20 изложить в следующей редакции:</w:t>
      </w:r>
    </w:p>
    <w:p>
      <w:pPr>
        <w:spacing w:after="60"/>
        <w:ind w:firstLine="567"/>
        <w:jc w:val="both"/>
      </w:pPr>
      <w:r>
        <w:rPr>
          <w:rFonts w:ascii="Arial" w:cs="Arial" w:eastAsia="Arial" w:hAnsi="Arial"/>
          <w:sz w:val="24"/>
          <w:szCs w:val="24"/>
        </w:rPr>
        <w:t xml:space="preserve">"6) принимая во внимание специфику и условия международных доноров при предоставлении инвестиционных средств, а также, учитывая ограниченность средств республиканского бюджета, в рамках настоящей Программы будут определены три основных направления жилищного финансирования: "Социальная ипотека", "Льготная ипотека" и "Доступная ипотека". По направлениям "Социальная ипотека" и "Льготная ипотека" планируется в основном реализовывать механизм жилищного финансирования "Арендное жилье с последующим выкупом". По направлению "Доступная ипотека" жилищное финансирование будет доступно через различные механизмы жилищного финансирования.";</w:t>
      </w:r>
    </w:p>
    <w:p>
      <w:pPr>
        <w:spacing w:after="60"/>
        <w:ind w:firstLine="567"/>
        <w:jc w:val="both"/>
      </w:pPr>
      <w:r>
        <w:rPr>
          <w:rFonts w:ascii="Arial" w:cs="Arial" w:eastAsia="Arial" w:hAnsi="Arial"/>
          <w:sz w:val="24"/>
          <w:szCs w:val="24"/>
        </w:rPr>
        <w:t xml:space="preserve">- пункт 21 изложить в следующей редакции:</w:t>
      </w:r>
    </w:p>
    <w:p>
      <w:pPr>
        <w:spacing w:after="60"/>
        <w:ind w:firstLine="567"/>
        <w:jc w:val="both"/>
      </w:pPr>
      <w:r>
        <w:rPr>
          <w:rFonts w:ascii="Arial" w:cs="Arial" w:eastAsia="Arial" w:hAnsi="Arial"/>
          <w:sz w:val="24"/>
          <w:szCs w:val="24"/>
        </w:rPr>
        <w:t xml:space="preserve">"21. Проект "Долевое строительство жилья":</w:t>
      </w:r>
    </w:p>
    <w:p>
      <w:pPr>
        <w:spacing w:after="60"/>
        <w:ind w:firstLine="567"/>
        <w:jc w:val="both"/>
      </w:pPr>
      <w:r>
        <w:rPr>
          <w:rFonts w:ascii="Arial" w:cs="Arial" w:eastAsia="Arial" w:hAnsi="Arial"/>
          <w:sz w:val="24"/>
          <w:szCs w:val="24"/>
        </w:rPr>
        <w:t xml:space="preserve">1) в целях снижения долговой нагрузки на государственный бюджет и обеспечения широкомасштабного охвата населения будет запущен механизм жилищного финансирования, предусматривающий предоставление гражданами Кыргызской Республики первоначального взноса в ГИК для строительства многоэтажного жилья посредством механизма долевого строительства;</w:t>
      </w:r>
    </w:p>
    <w:p>
      <w:pPr>
        <w:spacing w:after="60"/>
        <w:ind w:firstLine="567"/>
        <w:jc w:val="both"/>
      </w:pPr>
      <w:r>
        <w:rPr>
          <w:rFonts w:ascii="Arial" w:cs="Arial" w:eastAsia="Arial" w:hAnsi="Arial"/>
          <w:sz w:val="24"/>
          <w:szCs w:val="24"/>
        </w:rPr>
        <w:t xml:space="preserve">2) ГИК будет проводить открытую аккредитацию строительных компаний для участия в строительстве жилья посредством долевого строительства жилья;</w:t>
      </w:r>
    </w:p>
    <w:p>
      <w:pPr>
        <w:spacing w:after="60"/>
        <w:ind w:firstLine="567"/>
        <w:jc w:val="both"/>
      </w:pPr>
      <w:r>
        <w:rPr>
          <w:rFonts w:ascii="Arial" w:cs="Arial" w:eastAsia="Arial" w:hAnsi="Arial"/>
          <w:sz w:val="24"/>
          <w:szCs w:val="24"/>
        </w:rPr>
        <w:t xml:space="preserve">3) данный механизм жилищного финансирования будет доступен для всех граждан республики, в том числе граждан, осуществляющих трудовую деятельность за пределами страны.";</w:t>
      </w:r>
    </w:p>
    <w:p>
      <w:pPr>
        <w:spacing w:after="60"/>
        <w:ind w:firstLine="567"/>
        <w:jc w:val="both"/>
      </w:pPr>
      <w:r>
        <w:rPr>
          <w:rFonts w:ascii="Arial" w:cs="Arial" w:eastAsia="Arial" w:hAnsi="Arial"/>
          <w:sz w:val="24"/>
          <w:szCs w:val="24"/>
        </w:rPr>
        <w:t xml:space="preserve">- в пункте 22:</w:t>
      </w:r>
    </w:p>
    <w:p>
      <w:pPr>
        <w:spacing w:after="60"/>
        <w:ind w:firstLine="567"/>
        <w:jc w:val="both"/>
      </w:pPr>
      <w:r>
        <w:rPr>
          <w:rFonts w:ascii="Arial" w:cs="Arial" w:eastAsia="Arial" w:hAnsi="Arial"/>
          <w:sz w:val="24"/>
          <w:szCs w:val="24"/>
        </w:rPr>
        <w:t xml:space="preserve">подпункт 8 изложить в следующей редакции:</w:t>
      </w:r>
    </w:p>
    <w:p>
      <w:pPr>
        <w:spacing w:after="60"/>
        <w:ind w:firstLine="567"/>
        <w:jc w:val="both"/>
      </w:pPr>
      <w:r>
        <w:rPr>
          <w:rFonts w:ascii="Arial" w:cs="Arial" w:eastAsia="Arial" w:hAnsi="Arial"/>
          <w:sz w:val="24"/>
          <w:szCs w:val="24"/>
        </w:rPr>
        <w:t xml:space="preserve">"8) в целях оперативного обеспечения жильем участников настоящей Программы ГИК будет проводить выкуп жилья, в том числе на этапе строительства;";</w:t>
      </w:r>
    </w:p>
    <w:p>
      <w:pPr>
        <w:spacing w:after="60"/>
        <w:ind w:firstLine="567"/>
        <w:jc w:val="both"/>
      </w:pPr>
      <w:r>
        <w:rPr>
          <w:rFonts w:ascii="Arial" w:cs="Arial" w:eastAsia="Arial" w:hAnsi="Arial"/>
          <w:sz w:val="24"/>
          <w:szCs w:val="24"/>
        </w:rPr>
        <w:t xml:space="preserve">подпункт 9 признать утратившим силу;</w:t>
      </w:r>
    </w:p>
    <w:p>
      <w:pPr>
        <w:spacing w:after="60"/>
        <w:ind w:firstLine="567"/>
        <w:jc w:val="both"/>
      </w:pPr>
      <w:r>
        <w:rPr>
          <w:rFonts w:ascii="Arial" w:cs="Arial" w:eastAsia="Arial" w:hAnsi="Arial"/>
          <w:sz w:val="24"/>
          <w:szCs w:val="24"/>
        </w:rPr>
        <w:t xml:space="preserve">- пункт 24 дополнить подпунктом 4 следующего содержания:</w:t>
      </w:r>
    </w:p>
    <w:p>
      <w:pPr>
        <w:spacing w:after="60"/>
        <w:ind w:firstLine="567"/>
        <w:jc w:val="both"/>
      </w:pPr>
      <w:r>
        <w:rPr>
          <w:rFonts w:ascii="Arial" w:cs="Arial" w:eastAsia="Arial" w:hAnsi="Arial"/>
          <w:sz w:val="24"/>
          <w:szCs w:val="24"/>
        </w:rPr>
        <w:t xml:space="preserve">"4) в целях систематизации жилищного фонда, необходимого для реализации настоящей Программы, будет разработан и внедрен электронный сервис, обеспечивающий взаимодействие участников настоящей Программы с государственными органами в сфере строительства жилья и регистрации прав на недвижимое имущество, ГИК, банками и другими участниками жилищной сферы.";</w:t>
      </w:r>
    </w:p>
    <w:p>
      <w:pPr>
        <w:spacing w:after="60"/>
        <w:ind w:firstLine="567"/>
        <w:jc w:val="both"/>
      </w:pPr>
      <w:r>
        <w:rPr>
          <w:rFonts w:ascii="Arial" w:cs="Arial" w:eastAsia="Arial" w:hAnsi="Arial"/>
          <w:sz w:val="24"/>
          <w:szCs w:val="24"/>
        </w:rPr>
        <w:t xml:space="preserve">- предложение третье пункта 29 изложить в следующей редакции: "Помимо этого, будут привлечены финансовые средства частных инвесторов для жилищного строительства посредством реализации инвестиционных проектов с участниками строительной отрасли с привлечением инвестиций частного сектора, жилищных сертификатов, фондовых инструментов.";</w:t>
      </w:r>
    </w:p>
    <w:p>
      <w:pPr>
        <w:spacing w:after="60"/>
        <w:ind w:firstLine="567"/>
        <w:jc w:val="both"/>
      </w:pPr>
      <w:r>
        <w:rPr>
          <w:rFonts w:ascii="Arial" w:cs="Arial" w:eastAsia="Arial" w:hAnsi="Arial"/>
          <w:sz w:val="24"/>
          <w:szCs w:val="24"/>
        </w:rPr>
        <w:t xml:space="preserve">- пункт 30 изложить в следующей редакции:</w:t>
      </w:r>
    </w:p>
    <w:p>
      <w:pPr>
        <w:spacing w:after="60"/>
        <w:ind w:firstLine="567"/>
        <w:jc w:val="both"/>
      </w:pPr>
      <w:r>
        <w:rPr>
          <w:rFonts w:ascii="Arial" w:cs="Arial" w:eastAsia="Arial" w:hAnsi="Arial"/>
          <w:sz w:val="24"/>
          <w:szCs w:val="24"/>
        </w:rPr>
        <w:t xml:space="preserve">"30. Финансовые ресурсы для реализации настоящей Программы будут направлены на жилищное финансирование механизмов приобретения или строительства жилья.";</w:t>
      </w:r>
    </w:p>
    <w:p>
      <w:pPr>
        <w:spacing w:after="60"/>
        <w:ind w:firstLine="567"/>
        <w:jc w:val="both"/>
      </w:pPr>
      <w:r>
        <w:rPr>
          <w:rFonts w:ascii="Arial" w:cs="Arial" w:eastAsia="Arial" w:hAnsi="Arial"/>
          <w:sz w:val="24"/>
          <w:szCs w:val="24"/>
        </w:rPr>
        <w:t xml:space="preserve">- в пункте 32 слово "финансов" заменить словом "коммерции";</w:t>
      </w:r>
    </w:p>
    <w:p>
      <w:pPr>
        <w:spacing w:after="60"/>
        <w:ind w:firstLine="567"/>
        <w:jc w:val="both"/>
      </w:pPr>
      <w:r>
        <w:rPr>
          <w:rFonts w:ascii="Arial" w:cs="Arial" w:eastAsia="Arial" w:hAnsi="Arial"/>
          <w:sz w:val="24"/>
          <w:szCs w:val="24"/>
        </w:rPr>
        <w:t xml:space="preserve">2) </w:t>
      </w:r>
      <w:hyperlink w:history="1" r:id="rIdi2lof2t4ggbnb9gwvhlp5">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вышеуказанному постановлению изложить в редакции согласно </w:t>
      </w:r>
      <w:hyperlink w:history="1" r:id="rIdqpz83o0sw4har6sh-rrfc">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 в </w:t>
      </w:r>
      <w:hyperlink w:history="1" r:id="rIdbjtrzs9vjdufhpfo5_pya">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 в пункте 2 главы 1:</w:t>
      </w:r>
    </w:p>
    <w:p>
      <w:pPr>
        <w:spacing w:after="60"/>
        <w:ind w:firstLine="567"/>
        <w:jc w:val="both"/>
      </w:pPr>
      <w:r>
        <w:rPr>
          <w:rFonts w:ascii="Arial" w:cs="Arial" w:eastAsia="Arial" w:hAnsi="Arial"/>
          <w:sz w:val="24"/>
          <w:szCs w:val="24"/>
        </w:rPr>
        <w:t xml:space="preserve">подпункты 12, 14-16, 18 признать утратившими силу;</w:t>
      </w:r>
    </w:p>
    <w:p>
      <w:pPr>
        <w:spacing w:after="60"/>
        <w:ind w:firstLine="567"/>
        <w:jc w:val="both"/>
      </w:pPr>
      <w:r>
        <w:rPr>
          <w:rFonts w:ascii="Arial" w:cs="Arial" w:eastAsia="Arial" w:hAnsi="Arial"/>
          <w:sz w:val="24"/>
          <w:szCs w:val="24"/>
        </w:rPr>
        <w:t xml:space="preserve">подпункт 17 изложить в следующей редакции:</w:t>
      </w:r>
    </w:p>
    <w:p>
      <w:pPr>
        <w:spacing w:after="60"/>
        <w:ind w:firstLine="567"/>
        <w:jc w:val="both"/>
      </w:pPr>
      <w:r>
        <w:rPr>
          <w:rFonts w:ascii="Arial" w:cs="Arial" w:eastAsia="Arial" w:hAnsi="Arial"/>
          <w:sz w:val="24"/>
          <w:szCs w:val="24"/>
        </w:rPr>
        <w:t xml:space="preserve">"17) жилищное финансирование - совокупность механизмов приобретения или строительства жилья, таких как ипотечный кредит через банки-партнеры ГИК, арендное жилье с последующим выкупом, жилищное обеспечение по исламским принципам финансирования, лизинг и жилищное кредитование с применением зеленых принципов финансирования, механизм долевого финансирования строительства жилья;";</w:t>
      </w:r>
    </w:p>
    <w:p>
      <w:pPr>
        <w:spacing w:after="60"/>
        <w:ind w:firstLine="567"/>
        <w:jc w:val="both"/>
      </w:pPr>
      <w:r>
        <w:rPr>
          <w:rFonts w:ascii="Arial" w:cs="Arial" w:eastAsia="Arial" w:hAnsi="Arial"/>
          <w:sz w:val="24"/>
          <w:szCs w:val="24"/>
        </w:rPr>
        <w:t xml:space="preserve">- в </w:t>
      </w:r>
      <w:hyperlink w:history="1" r:id="rIdosbnyf1zygncayem0gibp">
        <w:r>
          <w:rPr>
            <w:rFonts w:ascii="Arial" w:cs="Arial" w:eastAsia="Arial" w:hAnsi="Arial"/>
            <w:color w:val="1D4ED8"/>
            <w:sz w:val="24"/>
            <w:szCs w:val="24"/>
            <w:u w:val="single"/>
          </w:rPr>
          <w:t xml:space="preserve">главе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пункте 3 слова "Ипотечный кредит ГИК-ЖСКК." исключить;</w:t>
      </w:r>
    </w:p>
    <w:p>
      <w:pPr>
        <w:spacing w:after="60"/>
        <w:ind w:firstLine="567"/>
        <w:jc w:val="both"/>
      </w:pPr>
      <w:r>
        <w:rPr>
          <w:rFonts w:ascii="Arial" w:cs="Arial" w:eastAsia="Arial" w:hAnsi="Arial"/>
          <w:sz w:val="24"/>
          <w:szCs w:val="24"/>
        </w:rPr>
        <w:t xml:space="preserve">пункт 4 изложить в следующей редакции:</w:t>
      </w:r>
    </w:p>
    <w:p>
      <w:pPr>
        <w:spacing w:after="120"/>
        <w:ind w:firstLine="567"/>
        <w:jc w:val="both"/>
      </w:pPr>
      <w:r>
        <w:rPr>
          <w:rFonts w:ascii="Arial" w:cs="Arial" w:eastAsia="Arial" w:hAnsi="Arial"/>
          <w:sz w:val="24"/>
          <w:szCs w:val="24"/>
        </w:rPr>
        <w:t xml:space="preserve">"4. Жилищное финансирование по направлению "Доступная ипотека" будет доступно гражданам, соответствующим следующим критериям отбора: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2600"/>
        <w:gridCol w:w="1804"/>
        <w:gridCol w:w="5440"/>
      </w:tblGrid>
      <w:tr>
        <w:tc>
          <w:tcPr>
            <w:tcW w:type="dxa" w:w="3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6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Механизм жилищного финансирования</w:t>
            </w:r>
          </w:p>
        </w:tc>
        <w:tc>
          <w:tcPr>
            <w:tcW w:type="dxa" w:w="1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граждан</w:t>
            </w:r>
          </w:p>
        </w:tc>
        <w:tc>
          <w:tcPr>
            <w:tcW w:type="dxa" w:w="54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Критерии отбора</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вне зависимости от сферы осуществления трудовой деятельности</w:t>
            </w:r>
          </w:p>
        </w:tc>
        <w:tc>
          <w:tcPr>
            <w:tcW w:type="dxa" w:w="5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от 21 (двадцать один) года на момент подачи заявления на участие в Программе и до 70 (семьдесят) лет на момент погашения последней суммы ипотечного кредита или арендных платежей в соответствии с плановыми графиками погашения;</w:t>
            </w:r>
          </w:p>
          <w:p>
            <w:pPr>
              <w:jc w:val="left"/>
            </w:pPr>
            <w:r>
              <w:rPr>
                <w:rFonts w:ascii="Arial" w:cs="Arial" w:eastAsia="Arial" w:hAnsi="Arial"/>
                <w:sz w:val="24"/>
                <w:szCs w:val="24"/>
              </w:rPr>
              <w:t xml:space="preserve">- наличие общего трудового стажа не менее 2 (двух) лет или стажа работы в данной организации/периода осуществления предпринимательской/экономической деятельности не менее 1 (одного) года;</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собственного жилья на территории Кыргызской Республики;</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p>
          <w:p>
            <w:pPr>
              <w:jc w:val="left"/>
            </w:pPr>
            <w:r>
              <w:rPr>
                <w:rFonts w:ascii="Arial" w:cs="Arial" w:eastAsia="Arial" w:hAnsi="Arial"/>
                <w:sz w:val="24"/>
                <w:szCs w:val="24"/>
              </w:rPr>
              <w:t xml:space="preserve">- платежеспособность участника</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пункте 5:</w:t>
      </w:r>
    </w:p>
    <w:p>
      <w:pPr>
        <w:spacing w:after="60"/>
        <w:ind w:firstLine="567"/>
        <w:jc w:val="both"/>
      </w:pPr>
      <w:r>
        <w:rPr>
          <w:rFonts w:ascii="Arial" w:cs="Arial" w:eastAsia="Arial" w:hAnsi="Arial"/>
          <w:sz w:val="24"/>
          <w:szCs w:val="24"/>
        </w:rPr>
        <w:t xml:space="preserve">слова "- отсутствие жилья и каких-либо гражданско-правовых сделок с жилым помещением у бывшего супруга (супруги) участника на всей территории Кыргызской Республики за последние 2 (два) года до даты подачи заявления на участие в Программе в случае расторжения брака участника в течение последних 2 (два) лет" исключить;</w:t>
      </w:r>
    </w:p>
    <w:p>
      <w:pPr>
        <w:spacing w:after="60"/>
        <w:ind w:firstLine="567"/>
        <w:jc w:val="both"/>
      </w:pPr>
      <w:r>
        <w:rPr>
          <w:rFonts w:ascii="Arial" w:cs="Arial" w:eastAsia="Arial" w:hAnsi="Arial"/>
          <w:sz w:val="24"/>
          <w:szCs w:val="24"/>
        </w:rPr>
        <w:t xml:space="preserve">слова "28 (двадцать восемь)" заменить словами "35 (тридцать пять)";</w:t>
      </w:r>
    </w:p>
    <w:p>
      <w:pPr>
        <w:spacing w:after="60"/>
        <w:ind w:firstLine="567"/>
        <w:jc w:val="both"/>
      </w:pPr>
      <w:r>
        <w:rPr>
          <w:rFonts w:ascii="Arial" w:cs="Arial" w:eastAsia="Arial" w:hAnsi="Arial"/>
          <w:sz w:val="24"/>
          <w:szCs w:val="24"/>
        </w:rPr>
        <w:t xml:space="preserve">в пункте 6:</w:t>
      </w:r>
    </w:p>
    <w:p>
      <w:pPr>
        <w:spacing w:after="60"/>
        <w:ind w:firstLine="567"/>
        <w:jc w:val="both"/>
      </w:pPr>
      <w:r>
        <w:rPr>
          <w:rFonts w:ascii="Arial" w:cs="Arial" w:eastAsia="Arial" w:hAnsi="Arial"/>
          <w:sz w:val="24"/>
          <w:szCs w:val="24"/>
        </w:rPr>
        <w:t xml:space="preserve">подпункт 3 изложить в следующей редакции:</w:t>
      </w:r>
    </w:p>
    <w:p>
      <w:pPr>
        <w:spacing w:after="60"/>
        <w:ind w:firstLine="567"/>
        <w:jc w:val="both"/>
      </w:pPr>
      <w:r>
        <w:rPr>
          <w:rFonts w:ascii="Arial" w:cs="Arial" w:eastAsia="Arial" w:hAnsi="Arial"/>
          <w:sz w:val="24"/>
          <w:szCs w:val="24"/>
        </w:rPr>
        <w:t xml:space="preserve">"3) в рамках ЖСКС перед вкладчиками ЖСКК будут исполнены обязательства, установленные в генеральном соглашении об открытии жилищно-сберегательного вклада и предоставлении кредита, с использованием механизмов жилищного финансирования Программы без учета критериев настоящего Порядка. Список вкладчиков ЖСКК и условия жилищного обеспечения будут опубликованы на сайте ГИК;";</w:t>
      </w:r>
    </w:p>
    <w:p>
      <w:pPr>
        <w:spacing w:after="60"/>
        <w:ind w:firstLine="567"/>
        <w:jc w:val="both"/>
      </w:pPr>
      <w:r>
        <w:rPr>
          <w:rFonts w:ascii="Arial" w:cs="Arial" w:eastAsia="Arial" w:hAnsi="Arial"/>
          <w:sz w:val="24"/>
          <w:szCs w:val="24"/>
        </w:rPr>
        <w:t xml:space="preserve">дополнить подпунктом 3-1 следующего содержания:</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 рамках механизма жилищного финансирования - долевое строительство, предусматривающего предоставление первоначального взноса для строительства многоэтажного жилья, допускается участие в Программе граждан Кыргызской Республики без учета критериев отбора настоящего Порядка, в том числе граждан, осуществляющих трудовую деятельность за пределами Кыргызской Республики. При этом граждане подают заявку в электронной форме на участие в Программе путем регистрации на официальном веб-сайте ГИК согласно главе 3 настоящего Порядка;";</w:t>
      </w:r>
    </w:p>
    <w:p>
      <w:pPr>
        <w:spacing w:after="60"/>
        <w:ind w:firstLine="567"/>
        <w:jc w:val="both"/>
      </w:pPr>
      <w:r>
        <w:rPr>
          <w:rFonts w:ascii="Arial" w:cs="Arial" w:eastAsia="Arial" w:hAnsi="Arial"/>
          <w:sz w:val="24"/>
          <w:szCs w:val="24"/>
        </w:rPr>
        <w:t xml:space="preserve">дополнить подпунктами 8</w:t>
      </w:r>
      <w:r>
        <w:rPr>
          <w:rFonts w:ascii="Arial" w:cs="Arial" w:eastAsia="Arial" w:hAnsi="Arial"/>
          <w:sz w:val="24"/>
          <w:szCs w:val="24"/>
        </w:rPr>
        <w:t xml:space="preserve">1</w:t>
      </w:r>
      <w:r>
        <w:rPr>
          <w:rFonts w:ascii="Arial" w:cs="Arial" w:eastAsia="Arial" w:hAnsi="Arial"/>
          <w:sz w:val="24"/>
          <w:szCs w:val="24"/>
        </w:rPr>
        <w:t xml:space="preserve"> - 8</w:t>
      </w:r>
      <w:r>
        <w:rPr>
          <w:rFonts w:ascii="Arial" w:cs="Arial" w:eastAsia="Arial" w:hAnsi="Arial"/>
          <w:sz w:val="24"/>
          <w:szCs w:val="24"/>
        </w:rPr>
        <w:t xml:space="preserve">3</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гражданам республики, внесшим особый вклад в развитие Кыргызской Республики, отдельными решениями Президента Кыргызской Республики и Председателя Кабинета Министров Кыргызской Республики может предоставляться жилищное финансирование, в том числе путем выкупа жилья, без учета критериев отбора и процедуры формирования списков участников Программы. Процедура и порядок предоставления жилья будут регламентироваться распоряжением Кабинета Министров Кыргызской Республики;</w:t>
      </w:r>
    </w:p>
    <w:p>
      <w:pPr>
        <w:spacing w:after="60"/>
        <w:ind w:firstLine="567"/>
        <w:jc w:val="both"/>
      </w:pPr>
      <w:r>
        <w:rPr>
          <w:rFonts w:ascii="Arial" w:cs="Arial" w:eastAsia="Arial" w:hAnsi="Arial"/>
          <w:sz w:val="24"/>
          <w:szCs w:val="24"/>
        </w:rPr>
        <w:t xml:space="preserve">8</w:t>
      </w:r>
      <w:r>
        <w:rPr>
          <w:rFonts w:ascii="Arial" w:cs="Arial" w:eastAsia="Arial" w:hAnsi="Arial"/>
          <w:sz w:val="24"/>
          <w:szCs w:val="24"/>
        </w:rPr>
        <w:t xml:space="preserve">2</w:t>
      </w:r>
      <w:r>
        <w:rPr>
          <w:rFonts w:ascii="Arial" w:cs="Arial" w:eastAsia="Arial" w:hAnsi="Arial"/>
          <w:sz w:val="24"/>
          <w:szCs w:val="24"/>
        </w:rPr>
        <w:t xml:space="preserve">) во исполнение </w:t>
      </w:r>
      <w:hyperlink w:history="1" r:id="rIdaygizws57z6l5it5kmnp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неотложных мерах по строительству объектов социально-культурного назначения, стратегических объектов, а также объектов жилищного фонда" от 9 декабря 2022 года № 672 решением Координационного совета для министерств и ведомств будут предоставлены квоты на первоочередное право на получение жилищного финансирования в размере не более 20% от количества жилищных единиц, имеющихся в жилом фонде ГИК;</w:t>
      </w:r>
    </w:p>
    <w:p>
      <w:pPr>
        <w:spacing w:after="60"/>
        <w:ind w:firstLine="567"/>
        <w:jc w:val="both"/>
      </w:pPr>
      <w:r>
        <w:rPr>
          <w:rFonts w:ascii="Arial" w:cs="Arial" w:eastAsia="Arial" w:hAnsi="Arial"/>
          <w:sz w:val="24"/>
          <w:szCs w:val="24"/>
        </w:rPr>
        <w:t xml:space="preserve">8</w:t>
      </w:r>
      <w:r>
        <w:rPr>
          <w:rFonts w:ascii="Arial" w:cs="Arial" w:eastAsia="Arial" w:hAnsi="Arial"/>
          <w:sz w:val="24"/>
          <w:szCs w:val="24"/>
        </w:rPr>
        <w:t xml:space="preserve">3</w:t>
      </w:r>
      <w:r>
        <w:rPr>
          <w:rFonts w:ascii="Arial" w:cs="Arial" w:eastAsia="Arial" w:hAnsi="Arial"/>
          <w:sz w:val="24"/>
          <w:szCs w:val="24"/>
        </w:rPr>
        <w:t xml:space="preserve">) министерствам и ведомствам, участвовавшим в формировании жилого фонда ГИК (участие в строительстве, финансирование строительства или передача на баланс ГИК на безвозмездной/возмездной основе объектов недвижимости) предоставляется первоочередное право на получение арендного жилья без учета процедуры формирования списков участников Программы;";</w:t>
      </w:r>
    </w:p>
    <w:p>
      <w:pPr>
        <w:spacing w:after="60"/>
        <w:ind w:firstLine="567"/>
        <w:jc w:val="both"/>
      </w:pPr>
      <w:r>
        <w:rPr>
          <w:rFonts w:ascii="Arial" w:cs="Arial" w:eastAsia="Arial" w:hAnsi="Arial"/>
          <w:sz w:val="24"/>
          <w:szCs w:val="24"/>
        </w:rPr>
        <w:t xml:space="preserve">- в </w:t>
      </w:r>
      <w:hyperlink w:history="1" r:id="rIdmu1da5q6x8pjonnxanlme">
        <w:r>
          <w:rPr>
            <w:rFonts w:ascii="Arial" w:cs="Arial" w:eastAsia="Arial" w:hAnsi="Arial"/>
            <w:color w:val="1D4ED8"/>
            <w:sz w:val="24"/>
            <w:szCs w:val="24"/>
            <w:u w:val="single"/>
          </w:rPr>
          <w:t xml:space="preserve">главе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пунктах 8-11 на официальном языке слова "и ЖСКК" исключить;</w:t>
      </w:r>
    </w:p>
    <w:p>
      <w:pPr>
        <w:spacing w:after="60"/>
        <w:ind w:firstLine="567"/>
        <w:jc w:val="both"/>
      </w:pPr>
      <w:r>
        <w:rPr>
          <w:rFonts w:ascii="Arial" w:cs="Arial" w:eastAsia="Arial" w:hAnsi="Arial"/>
          <w:sz w:val="24"/>
          <w:szCs w:val="24"/>
        </w:rPr>
        <w:t xml:space="preserve">в пунктах 8, 9, 11 на государственном языке слова "жана ТАККнын", "жана ТАККга" исключить;</w:t>
      </w:r>
    </w:p>
    <w:p>
      <w:pPr>
        <w:spacing w:after="60"/>
        <w:ind w:firstLine="567"/>
        <w:jc w:val="both"/>
      </w:pPr>
      <w:r>
        <w:rPr>
          <w:rFonts w:ascii="Arial" w:cs="Arial" w:eastAsia="Arial" w:hAnsi="Arial"/>
          <w:sz w:val="24"/>
          <w:szCs w:val="24"/>
        </w:rPr>
        <w:t xml:space="preserve">в пунктах 13, 14 слова "ГИК/ЖСКК" заменить аббревиатурой "ГИК";</w:t>
      </w:r>
    </w:p>
    <w:p>
      <w:pPr>
        <w:spacing w:after="60"/>
        <w:ind w:firstLine="567"/>
        <w:jc w:val="both"/>
      </w:pPr>
      <w:r>
        <w:rPr>
          <w:rFonts w:ascii="Arial" w:cs="Arial" w:eastAsia="Arial" w:hAnsi="Arial"/>
          <w:sz w:val="24"/>
          <w:szCs w:val="24"/>
        </w:rPr>
        <w:t xml:space="preserve">абзац четвертый пункта 15 признать утратившим силу;</w:t>
      </w:r>
    </w:p>
    <w:p>
      <w:pPr>
        <w:spacing w:after="60"/>
        <w:ind w:firstLine="567"/>
        <w:jc w:val="both"/>
      </w:pPr>
      <w:r>
        <w:rPr>
          <w:rFonts w:ascii="Arial" w:cs="Arial" w:eastAsia="Arial" w:hAnsi="Arial"/>
          <w:sz w:val="24"/>
          <w:szCs w:val="24"/>
        </w:rPr>
        <w:t xml:space="preserve">- в </w:t>
      </w:r>
      <w:hyperlink w:history="1" r:id="rIdmt3kunkrdupmykc1d3g92">
        <w:r>
          <w:rPr>
            <w:rFonts w:ascii="Arial" w:cs="Arial" w:eastAsia="Arial" w:hAnsi="Arial"/>
            <w:color w:val="1D4ED8"/>
            <w:sz w:val="24"/>
            <w:szCs w:val="24"/>
            <w:u w:val="single"/>
          </w:rPr>
          <w:t xml:space="preserve">главе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графу "Примечание" пункта 2 изложить в следующей редакции: "Приобретение жилья, строительство жилья (индивидуальный жилой дом) с использованием механизма поэтапного финансирования, если имеется земельный участок в населенном пункте по месту жительства";</w:t>
      </w:r>
    </w:p>
    <w:p>
      <w:pPr>
        <w:spacing w:after="60"/>
        <w:ind w:firstLine="567"/>
        <w:jc w:val="both"/>
      </w:pPr>
      <w:r>
        <w:rPr>
          <w:rFonts w:ascii="Arial" w:cs="Arial" w:eastAsia="Arial" w:hAnsi="Arial"/>
          <w:sz w:val="24"/>
          <w:szCs w:val="24"/>
        </w:rPr>
        <w:t xml:space="preserve">графу "Примечание" пункта 14 изложить в следующей редакции: "Процедуры согласно внутренним требованиям банка-партнера";</w:t>
      </w:r>
    </w:p>
    <w:p>
      <w:pPr>
        <w:spacing w:after="60"/>
        <w:ind w:firstLine="567"/>
        <w:jc w:val="both"/>
      </w:pPr>
      <w:r>
        <w:rPr>
          <w:rFonts w:ascii="Arial" w:cs="Arial" w:eastAsia="Arial" w:hAnsi="Arial"/>
          <w:sz w:val="24"/>
          <w:szCs w:val="24"/>
        </w:rPr>
        <w:t xml:space="preserve">пункт 16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2309"/>
        <w:gridCol w:w="7535"/>
      </w:tblGrid>
      <w:tr>
        <w:tc>
          <w:tcPr>
            <w:tcW w:type="dxa" w:w="3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3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ипотечного кредита (залог)</w:t>
            </w:r>
          </w:p>
        </w:tc>
        <w:tc>
          <w:tcPr>
            <w:tcW w:type="dxa" w:w="75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Жилье, приобретаемое под ипотечный кредит.</w:t>
            </w:r>
          </w:p>
          <w:p>
            <w:pPr>
              <w:jc w:val="left"/>
            </w:pPr>
            <w:r>
              <w:rPr>
                <w:rFonts w:ascii="Arial" w:cs="Arial" w:eastAsia="Arial" w:hAnsi="Arial"/>
                <w:sz w:val="24"/>
                <w:szCs w:val="24"/>
              </w:rPr>
              <w:t xml:space="preserve">Допускается замена предмета (залога) ипотечного кредита.</w:t>
            </w:r>
          </w:p>
          <w:p>
            <w:pPr>
              <w:jc w:val="left"/>
            </w:pPr>
            <w:r>
              <w:rPr>
                <w:rFonts w:ascii="Arial" w:cs="Arial" w:eastAsia="Arial" w:hAnsi="Arial"/>
                <w:sz w:val="24"/>
                <w:szCs w:val="24"/>
              </w:rPr>
              <w:t xml:space="preserve">Земельный участок в период строительства и индивидуальный жилой дом после строительства.</w:t>
            </w:r>
          </w:p>
          <w:p>
            <w:pPr>
              <w:jc w:val="left"/>
            </w:pPr>
            <w:r>
              <w:rPr>
                <w:rFonts w:ascii="Arial" w:cs="Arial" w:eastAsia="Arial" w:hAnsi="Arial"/>
                <w:sz w:val="24"/>
                <w:szCs w:val="24"/>
              </w:rPr>
              <w:t xml:space="preserve">Имущественное право на строящееся жилое помещение на условиях договора долевого строительства в период строительства и жилье после строительства.</w:t>
            </w:r>
          </w:p>
          <w:p>
            <w:pPr>
              <w:jc w:val="left"/>
            </w:pPr>
            <w:r>
              <w:rPr>
                <w:rFonts w:ascii="Arial" w:cs="Arial" w:eastAsia="Arial" w:hAnsi="Arial"/>
                <w:sz w:val="24"/>
                <w:szCs w:val="24"/>
              </w:rPr>
              <w:t xml:space="preserve">Ипотечная гарантия - при необходимости.</w:t>
            </w:r>
          </w:p>
          <w:p>
            <w:pPr>
              <w:jc w:val="left"/>
            </w:pPr>
            <w:r>
              <w:rPr>
                <w:rFonts w:ascii="Arial" w:cs="Arial" w:eastAsia="Arial" w:hAnsi="Arial"/>
                <w:sz w:val="24"/>
                <w:szCs w:val="24"/>
              </w:rPr>
              <w:t xml:space="preserve">Действует до момента погашения основной суммы ипотечного кредита, равной выданной ипотечной гарантии</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hyperlink w:history="1" r:id="rIddltbo379ovhf8uwpow5fg">
        <w:r>
          <w:rPr>
            <w:rFonts w:ascii="Arial" w:cs="Arial" w:eastAsia="Arial" w:hAnsi="Arial"/>
            <w:color w:val="1D4ED8"/>
            <w:sz w:val="24"/>
            <w:szCs w:val="24"/>
            <w:u w:val="single"/>
          </w:rPr>
          <w:t xml:space="preserve">главу 6</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am-ovhkbcixggk11kg1a_">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Условия финансирования через долевое строительство жилья</w:t>
      </w:r>
    </w:p>
    <w:p>
      <w:pPr>
        <w:spacing w:after="120" w:before="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2506"/>
        <w:gridCol w:w="7338"/>
      </w:tblGrid>
      <w:tr>
        <w:tc>
          <w:tcPr>
            <w:tcW w:type="dxa" w:w="3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 ипотечного кредита</w:t>
            </w:r>
          </w:p>
        </w:tc>
        <w:tc>
          <w:tcPr>
            <w:tcW w:type="dxa" w:w="73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Программы (целевая группа)</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граждане, в том числе осуществляющие трудовую деятельность за пределами страны</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первоначального взноса для последующего финансирования долевого строительства жилья</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 аренды</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Квартира в строящемся жилом доме в рамках механизма долевого финансирования "Арендное жилье с последующим выкупом". Право собственности до полного погашения стоимости жилья в соответствии с графиком погашения и договором аренды принадлежит ГИК</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и первоначальный взнос (собственный вклад)</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и размер первоначального взноса устанавливается отдельным решением ГИК с учетом источников финансирования, стоимости строительства.</w:t>
            </w:r>
          </w:p>
          <w:p>
            <w:pPr>
              <w:jc w:val="left"/>
            </w:pPr>
            <w:r>
              <w:rPr>
                <w:rFonts w:ascii="Arial" w:cs="Arial" w:eastAsia="Arial" w:hAnsi="Arial"/>
                <w:sz w:val="24"/>
                <w:szCs w:val="24"/>
              </w:rPr>
              <w:t xml:space="preserve">Первоначальный взнос от 20% и более от стоимости жилья.</w:t>
            </w:r>
          </w:p>
          <w:p>
            <w:pPr>
              <w:jc w:val="left"/>
            </w:pPr>
            <w:r>
              <w:rPr>
                <w:rFonts w:ascii="Arial" w:cs="Arial" w:eastAsia="Arial" w:hAnsi="Arial"/>
                <w:sz w:val="24"/>
                <w:szCs w:val="24"/>
              </w:rPr>
              <w:t xml:space="preserve">При едином предоставлении полной стоимости жилья, объект аренды переходит в собственность участнику Программы в течение 30 (тридцати) рабочих дней</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сом</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и размер комиссий</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Комиссионные сборы устанавливаются отдельным решением ГИК. Комиссия за прием ежемесячных арендных платежей согласно тарифам банка-партнера</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условий по предоставлению арендного жилья</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Допускается возможность внесения арендного платежа в счет будущих погашений по текущему графику с учетом уменьшения срока выкупа арендного жилья (по желанию арендатора) при условии внесения суммы в размере оплаты не менее чем за два месяца.</w:t>
            </w:r>
          </w:p>
          <w:p>
            <w:pPr>
              <w:jc w:val="left"/>
            </w:pPr>
            <w:r>
              <w:rPr>
                <w:rFonts w:ascii="Arial" w:cs="Arial" w:eastAsia="Arial" w:hAnsi="Arial"/>
                <w:sz w:val="24"/>
                <w:szCs w:val="24"/>
              </w:rPr>
              <w:t xml:space="preserve">Допускается возможность досрочного выкупа арендного жилья с момента совершения сделки путем выплаты полного остатка суммы арендных платежей согласно графику</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Обязательное ежегодное страхование объекта аренды согласно </w:t>
            </w:r>
            <w:hyperlink w:history="1" r:id="rIdq0hc9y3tfp1vracgqnfu-">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участников</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проводит мониторинг целевого использования и надлежащего содержания объекта аренды в соответствии с условиями договора аренды</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дополнить </w:t>
      </w:r>
      <w:hyperlink w:history="1" r:id="rIdlff32eovf8v1q_lg8-lfs">
        <w:r>
          <w:rPr>
            <w:rFonts w:ascii="Arial" w:cs="Arial" w:eastAsia="Arial" w:hAnsi="Arial"/>
            <w:color w:val="1D4ED8"/>
            <w:sz w:val="24"/>
            <w:szCs w:val="24"/>
            <w:u w:val="single"/>
          </w:rPr>
          <w:t xml:space="preserve">главой 7</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k1ugz5xdopokcbvjgwgxf">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Условия предоставления жилья в рамках механизма "Арендное жилье с последующим выкупом" для граждан, получивших ранения в результате событий, произошедших 7 апреля 2010 года в городе Бишкек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3281"/>
        <w:gridCol w:w="6563"/>
      </w:tblGrid>
      <w:tr>
        <w:tc>
          <w:tcPr>
            <w:tcW w:type="dxa" w:w="3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w:t>
            </w:r>
          </w:p>
        </w:tc>
        <w:tc>
          <w:tcPr>
            <w:tcW w:type="dxa" w:w="65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отбора для граждан, получивших ранения в результате событий, произошедших 7 апреля 2010 года в городе Бишкек</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награждение специальным нагрудным знаком "Герой Апрельской народной революции";</w:t>
            </w:r>
          </w:p>
          <w:p>
            <w:pPr>
              <w:jc w:val="left"/>
            </w:pPr>
            <w:r>
              <w:rPr>
                <w:rFonts w:ascii="Arial" w:cs="Arial" w:eastAsia="Arial" w:hAnsi="Arial"/>
                <w:sz w:val="24"/>
                <w:szCs w:val="24"/>
              </w:rPr>
              <w:t xml:space="preserve">- место проживания в городе Бишкек или в радиусе до 100 (сто) км от города Бишкек;</w:t>
            </w:r>
          </w:p>
          <w:p>
            <w:pPr>
              <w:jc w:val="left"/>
            </w:pPr>
            <w:r>
              <w:rPr>
                <w:rFonts w:ascii="Arial" w:cs="Arial" w:eastAsia="Arial" w:hAnsi="Arial"/>
                <w:sz w:val="24"/>
                <w:szCs w:val="24"/>
              </w:rPr>
              <w:t xml:space="preserve">- подтверждение "причинения тяжкого вреда здоровью, менее тяжкого вреда и легкого вреда в результате событий, произошедших 7 апреля 2010 года в городе Бишкек, соответствующим заключением судебно-медицинской экспертизы;</w:t>
            </w:r>
          </w:p>
          <w:p>
            <w:pPr>
              <w:jc w:val="left"/>
            </w:pPr>
            <w:r>
              <w:rPr>
                <w:rFonts w:ascii="Arial" w:cs="Arial" w:eastAsia="Arial" w:hAnsi="Arial"/>
                <w:sz w:val="24"/>
                <w:szCs w:val="24"/>
              </w:rPr>
              <w:t xml:space="preserve">- платежеспособность - доходы семьи должны покрывать ежемесячную оплату по аренде жилья, с подтверждением доходов за последние 3 (три) месяца</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аренды</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срок аренды - не более 25 (двадцать пять) лет</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Процентная ставка по аренде</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(четыре) % годовых</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сом</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собственности до полного погашения стоимости жилья в соответствии с графиком погашения и договором аренды</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полного погашения полной стоимости жилья в соответствии с договором аренды жилье будет находиться в собственности ГИК</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перехода права собственности к арендатору</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окончании срока погашения или досрочной выплаты полной стоимости жилья. Срок оформления объекта аренды в собственность арендатора в течение 30 (тридцати) рабочих дней после выплаты последней суммы в соответствии с приложением к договору аренды (график погашения)</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арендного платежа</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берутся с 1 (одного) квадратного метра жилья (Методика расчета состоит из части стоимости квартиры, стоимости аренды, за исключением страхования объекта аренды, расходов за коммунальные услуги и содержание объекта аренды в надлежащем состоянии)</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и размер комиссий</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Отсутствуют любые комиссионные сборы за администрирование, комиссия за прием ежемесячных арендных платежей - согласно тарифам банка-партнера</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и первоначальный взнос (собственный вклад)</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и размер первоначального взноса устанавливается отдельным решением ГИК с учетом источников финансирования, стоимости строительства или выкупа готового жилья</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условий по предоставлению арендного жилья</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Допускается возможность внесения арендного платежа в счет будущего погашения по текущему графику с учетом уменьшения срока выкупа арендного жилья (по желанию арендатора) при условии внесения суммы в размере оплаты не менее чем за два месяца. Допускается возможность досрочного выкупа арендного жилья с момента совершения сделки путем выплаты полного остатка суммы арендных платежей согласно графику</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Обязательное ежегодное страхование объекта аренды согласно </w:t>
            </w:r>
            <w:hyperlink w:history="1" r:id="rId0hkygzalverkpy91e5zti">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участников</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проводит мониторинг целевого использования и надлежащего содержания объекта аренды в соответствии с условиями договора аренды</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жилья в рамках механизма "Арендное жилье с последующим выкупом"</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Гражданин совместно с супругом (супругой) обеспечиваются жильем по механизму "Арендное жилье с последующим выкупом" в рамках государственных жилищных программ не более одного раза</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предъявляемые к поручителю/гаранту</w:t>
            </w:r>
          </w:p>
        </w:tc>
        <w:tc>
          <w:tcPr>
            <w:tcW w:type="dxa" w:w="6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гражданин состоит в зарегистрированном браке, то его супруг/супруга в обязательном порядке также становится поручителем, независимо от того, есть ли у него/нее постоянный доход</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23 февраля 2024 года № 15 (3568)</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qragyzllyuvn1v6krksfc">
        <w:r>
          <w:rPr>
            <w:rFonts w:ascii="Arial" w:cs="Arial" w:eastAsia="Arial" w:hAnsi="Arial"/>
            <w:color w:val="1D4ED8"/>
            <w:sz w:val="24"/>
            <w:szCs w:val="24"/>
            <w:u w:val="single"/>
          </w:rPr>
          <w:t xml:space="preserve">Приложение 2</w:t>
        </w:r>
      </w:hyperlink>
    </w:p>
    <w:p>
      <w:pPr>
        <w:spacing w:after="400" w:before="400"/>
        <w:jc w:val="center"/>
      </w:pPr>
      <w:r>
        <w:rPr>
          <w:rFonts w:ascii="Arial" w:cs="Arial" w:eastAsia="Arial" w:hAnsi="Arial"/>
          <w:b/>
          <w:bCs/>
          <w:sz w:val="32"/>
          <w:szCs w:val="32"/>
        </w:rPr>
        <w:t xml:space="preserve">ПЛАН МЕРОПРИЯТИЙ
 по реализации жилищной программы Кыргызской Республики "Мой дом 2021-2026" (далее - Программа)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6"/>
        <w:gridCol w:w="2878"/>
        <w:gridCol w:w="2302"/>
        <w:gridCol w:w="1089"/>
        <w:gridCol w:w="1608"/>
        <w:gridCol w:w="1964"/>
      </w:tblGrid>
      <w:tr>
        <w:tc>
          <w:tcPr>
            <w:tcW w:type="dxa" w:w="3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8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Задачи/меры</w:t>
            </w:r>
          </w:p>
        </w:tc>
        <w:tc>
          <w:tcPr>
            <w:tcW w:type="dxa" w:w="23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Ожидаемый результат</w:t>
            </w:r>
          </w:p>
        </w:tc>
        <w:tc>
          <w:tcPr>
            <w:tcW w:type="dxa" w:w="1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реализации</w:t>
            </w:r>
          </w:p>
        </w:tc>
        <w:tc>
          <w:tcPr>
            <w:tcW w:type="dxa" w:w="16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19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 Проект "Расширение финансирования"</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Выделение бюджетных средств ежегодно в рамках бюджетной политики</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Профинансирована реализация Программы на сумму не менее 5,5 млрд.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2021-2026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МЭК, ГИК (по согласованию)</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республиканского бюджета</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внебюджетных финансовых ресурсов в сектор государственного жилищного финансирования</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Привлечено финансовых ресурсов на сумму не менее 18,5 млрд. сомов</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2021-2026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ГИК (по согласованию)</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международных доноров и инвесторов</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Поддержание уровня уставного капитала ГИК в размере не менее 10 процентов от активов</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инвестиционная привлекательность ГИК</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(по согласованию)</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ГИК и средства международных доноров и инвесторов</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2. Проект "Увеличение жилищного фонда"</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селитебных зон для строительства жилья во всех городах и населенных пунктах страны</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Выделены земельные участки с соответствующей инфраструктурой во всех городах и населенных пунктах страны для жилищного строительства</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2021-2026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 (по согласованию)</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местных органов самоуправления</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строительства жилья</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Профинансировано приобретение и строительство жилья в объеме не менее 740 тыс. кв.м</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2021-2026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(по согласованию), ОМСУ (по согласованию), Госстрой</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ГИК, средства международных доноров и инвесторов, средства республиканского бюджета</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обеспеченности жильем населения страны</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ежегодные отчеты об обеспеченности жильем</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2021-2026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(по согласованию)</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жилья с учетом возможности применения современных технологий при строительстве</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проекты недорогого жилья</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2021-2026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 ОМСУ (по согласованию)</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республиканского бюджета и международных доноров</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3. Проект "Повышение доступности жилищного финансирования"</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процентной ставки по государственным ипотечным кредитам, в том числе по ранее выданным кредитам, путем трансформации бюджетных кредитов и снижения маржи банка и ГИК</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 снижена процентная ставка по государственным ипотечным кредитам до уровня 4-6 процентов годовых</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2021-2026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ГИК (по согласованию)</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ГИК, средства международных доноров, средства республиканского бюджета</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обеспеченности жильем населения путем реализации механизмов жилищного финансирования</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Обеспечено жильем не менее 15000 семей</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2021-2026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(по согласованию), МЭК, МФ</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ГИК, средства международных доноров и инвесторов, средства республиканского бюджета</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исламских принципов жилищного финансирования</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внедрены исламские ипотечные продукты</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2021-2022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(по согласованию), НБ (по согласованию)</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ГИК и средства международных доноров и инвесторов</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Налоговый кодекс Кыргызской Республики в части предоставления преференций и льгот участникам и субъектам жилищной программы</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Предоставлены преференции и льготы участникам и субъектам жилищной программы в части повышения доступности жилья</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2022-2023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ГИК (по согласованию)</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принципов зеленого финансирования в сфере жилищного кредитования</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Запущен проект зеленой ипотеки</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2021-2026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(по согласованию), МЭК, МПРЭТН</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ГИК и средства международных доноров и фондов</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механизма долевого финансирования строительства жилья</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Запущен механизм долевого финансирования строительства жилья</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2024-2026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(по согласованию)</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ГИК</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4. Проект "Цифровизация услуг"</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процедуры подачи заявки на участие в Программе путем внедрения цифровых технологий</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 функционал сбора и обработки информации через электронный портал ГИК в целях улучшения скоринга</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2021-2026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(по согласованию), МЭК, МЦР</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ГИК и средства международных доноров</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с государственными органами соглашений об уровне сервиса (SLA-соглашения) относительно обмена данных</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Достигнуто соглашение об уровне сервиса между ГИК и государственными органами</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2021-2022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(по согласованию), МЭК, МЦР</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ГИК</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электронной формы государственной регистрации прав на недвижимое имущество, приобретенное гражданами в рамках реализации жилищной программы</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Осуществлена цифровизация процессов государственной регистрации прав на недвижимое имущество</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2022-2023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МЦР</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электронного сервиса, обеспечивающего взаимодействие участников Программы с государственными органами в сфере строительства жилья и регистрации прав на недвижимое имущество, ГИК и коммерческими банками</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 электронный сервис для систематизации жилищного фонда, необходимого для реализации настоящей Программы</w:t>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2023-2026 годы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(по согласованию)</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международных доноров</w:t>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Список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ГИК</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"Государственная Ипотечная Компания"</w:t>
      </w:r>
    </w:p>
    <w:p>
      <w:pPr>
        <w:tabs>
          <w:tab w:val="right" w:pos="10178"/>
        </w:tabs>
        <w:spacing w:after="120"/>
      </w:pPr>
      <w:r>
        <w:rPr>
          <w:rFonts w:ascii="Arial" w:cs="Arial" w:eastAsia="Arial" w:hAnsi="Arial"/>
          <w:b/>
          <w:bCs/>
          <w:sz w:val="24"/>
          <w:szCs w:val="24"/>
        </w:rPr>
        <w:t xml:space="preserve">Госстрой</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МПРЭТН</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МЦР</w:t>
      </w:r>
      <w:r>
        <w:rPr>
          <w:rFonts w:ascii="Arial" w:cs="Arial" w:eastAsia="Arial" w:hAnsi="Arial"/>
          <w:sz w:val="24"/>
          <w:szCs w:val="24"/>
        </w:rPr>
        <w:t xml:space="preserve">	</w:t>
      </w:r>
      <w:r>
        <w:rPr>
          <w:rFonts w:ascii="Arial" w:cs="Arial" w:eastAsia="Arial" w:hAnsi="Arial"/>
          <w:sz w:val="24"/>
          <w:szCs w:val="24"/>
        </w:rPr>
        <w:t xml:space="preserve">Министерство цифрового развития Кыргызской Республики</w:t>
      </w:r>
    </w:p>
    <w:p>
      <w:pPr>
        <w:tabs>
          <w:tab w:val="right" w:pos="10178"/>
        </w:tabs>
        <w:spacing w:after="120"/>
      </w:pPr>
      <w:r>
        <w:rPr>
          <w:rFonts w:ascii="Arial" w:cs="Arial" w:eastAsia="Arial" w:hAnsi="Arial"/>
          <w:b/>
          <w:bCs/>
          <w:sz w:val="24"/>
          <w:szCs w:val="24"/>
        </w:rPr>
        <w:t xml:space="preserve">МЭК</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Нацстатком</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НБ</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lmhsqraczpjvwvfbbqoc">
      <w:r>
        <w:rPr>
          <w:rFonts w:ascii="Arial" w:cs="Arial" w:eastAsia="Arial" w:hAnsi="Arial"/>
          <w:color w:val="132D3F"/>
          <w:sz w:val="16"/>
          <w:szCs w:val="16"/>
          <w:u w:val="single"/>
        </w:rPr>
        <w:t xml:space="preserve">dalil.kg/document/230002095</w:t>
      </w:r>
    </w:hyperlink>
  </w:p>
  <w:p>
    <w:pPr>
      <w:spacing w:after="0" w:before="40"/>
      <w:jc w:val="center"/>
    </w:pPr>
    <w:hyperlink w:history="1" r:id="rIdtylwducqbcixbq7fu-jy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yh3sjvasn3kiljnsbuug" Type="http://schemas.openxmlformats.org/officeDocument/2006/relationships/hyperlink" Target="https://dalil.kg/document/230023552" TargetMode="External"/><Relationship Id="rId0bssnlkxd-ceykn9447sh" Type="http://schemas.openxmlformats.org/officeDocument/2006/relationships/hyperlink" Target="https://dalil.kg/document/111580#st_9" TargetMode="External"/><Relationship Id="rIdgzc74cjjv7zxqnehrxbba" Type="http://schemas.openxmlformats.org/officeDocument/2006/relationships/hyperlink" Target="https://dalil.kg/document/112301#st_13" TargetMode="External"/><Relationship Id="rIdhwy6ee8zvgeoxi7ia-hnv" Type="http://schemas.openxmlformats.org/officeDocument/2006/relationships/hyperlink" Target="https://dalil.kg/document/112301#st_17" TargetMode="External"/><Relationship Id="rIdvmuqvodahfpqqfk_eo7n2" Type="http://schemas.openxmlformats.org/officeDocument/2006/relationships/hyperlink" Target="https://dalil.kg/document/158356" TargetMode="External"/><Relationship Id="rIdjsle78l_emgpeakghw2kt" Type="http://schemas.openxmlformats.org/officeDocument/2006/relationships/hyperlink" Target="https://dalil.kg/document/158357" TargetMode="External"/><Relationship Id="rIdf7j5ypw-5desbvahoxr7f" Type="http://schemas.openxmlformats.org/officeDocument/2006/relationships/hyperlink" Target="https://dalil.kg/document/158357" TargetMode="External"/><Relationship Id="rIdi2lof2t4ggbnb9gwvhlp5" Type="http://schemas.openxmlformats.org/officeDocument/2006/relationships/hyperlink" Target="https://dalil.kg/document/158356#pr2" TargetMode="External"/><Relationship Id="rIdqpz83o0sw4har6sh-rrfc" Type="http://schemas.openxmlformats.org/officeDocument/2006/relationships/hyperlink" Target="https://dalil.kg/document/160818#pr" TargetMode="External"/><Relationship Id="rIdbjtrzs9vjdufhpfo5_pya" Type="http://schemas.openxmlformats.org/officeDocument/2006/relationships/hyperlink" Target="https://dalil.kg/document/158358" TargetMode="External"/><Relationship Id="rIdosbnyf1zygncayem0gibp" Type="http://schemas.openxmlformats.org/officeDocument/2006/relationships/hyperlink" Target="https://dalil.kg/document/158358#g2" TargetMode="External"/><Relationship Id="rIdaygizws57z6l5it5kmnpu" Type="http://schemas.openxmlformats.org/officeDocument/2006/relationships/hyperlink" Target="https://dalil.kg/document/159642" TargetMode="External"/><Relationship Id="rIdmu1da5q6x8pjonnxanlme" Type="http://schemas.openxmlformats.org/officeDocument/2006/relationships/hyperlink" Target="https://dalil.kg/document/158358#g3" TargetMode="External"/><Relationship Id="rIdmt3kunkrdupmykc1d3g92" Type="http://schemas.openxmlformats.org/officeDocument/2006/relationships/hyperlink" Target="https://dalil.kg/document/158358#g4" TargetMode="External"/><Relationship Id="rIddltbo379ovhf8uwpow5fg" Type="http://schemas.openxmlformats.org/officeDocument/2006/relationships/hyperlink" Target="https://dalil.kg/document/158358#g6" TargetMode="External"/><Relationship Id="rIdam-ovhkbcixggk11kg1a_" Type="http://schemas.openxmlformats.org/officeDocument/2006/relationships/hyperlink" Target="https://dalil.kg/document/158358#g6" TargetMode="External"/><Relationship Id="rIdq0hc9y3tfp1vracgqnfu-" Type="http://schemas.openxmlformats.org/officeDocument/2006/relationships/hyperlink" Target="https://dalil.kg/document/111253" TargetMode="External"/><Relationship Id="rIdlff32eovf8v1q_lg8-lfs" Type="http://schemas.openxmlformats.org/officeDocument/2006/relationships/hyperlink" Target="https://dalil.kg/document/158358#g7" TargetMode="External"/><Relationship Id="rIdk1ugz5xdopokcbvjgwgxf" Type="http://schemas.openxmlformats.org/officeDocument/2006/relationships/hyperlink" Target="https://dalil.kg/document/158358#g7" TargetMode="External"/><Relationship Id="rId0hkygzalverkpy91e5zti" Type="http://schemas.openxmlformats.org/officeDocument/2006/relationships/hyperlink" Target="https://dalil.kg/document/111253" TargetMode="External"/><Relationship Id="rIdqragyzllyuvn1v6krksfc" Type="http://schemas.openxmlformats.org/officeDocument/2006/relationships/hyperlink" Target="https://dalil.kg/document/158356#pr2"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lmhsqraczpjvwvfbbqoc" Type="http://schemas.openxmlformats.org/officeDocument/2006/relationships/hyperlink" Target="https://dalil.kg/document/230002095" TargetMode="External"/><Relationship Id="rIdtylwducqbcixbq7fu-jy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2026-09-24T03:41:20.730Z</dcterms:created>
  <dcterms:modified xsi:type="dcterms:W3CDTF">2026-09-24T03:41:20.730Z</dcterms:modified>
</cp:coreProperties>
</file>

<file path=docProps/custom.xml><?xml version="1.0" encoding="utf-8"?>
<Properties xmlns="http://schemas.openxmlformats.org/officeDocument/2006/custom-properties" xmlns:vt="http://schemas.openxmlformats.org/officeDocument/2006/docPropsVTypes"/>
</file>