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3web965ck39ti5wdu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 (газета «Эркин-Тоо» от 5 июля 2022 года № 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u_byfanrhwszfs4pz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«игорное заведение -</w:t>
      </w:r>
      <w:r>
        <w:rPr>
          <w:rFonts w:ascii="Arial" w:cs="Arial" w:eastAsia="Arial" w:hAnsi="Arial"/>
          <w:sz w:val="24"/>
          <w:szCs w:val="24"/>
        </w:rPr>
        <w:t xml:space="preserve"> помещение (здание), в котором на основании лицензии на создание и содержание игорных заведений, организацию азартных игр проводятся азартные игры и (или) принимаются ставки на пари: казино, тотализатор, букмекерская контора;»;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slsczhyea5urca8pka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катышуучу -</w:t>
      </w:r>
      <w:r>
        <w:rPr>
          <w:rFonts w:ascii="Arial" w:cs="Arial" w:eastAsia="Arial" w:hAnsi="Arial"/>
          <w:sz w:val="24"/>
          <w:szCs w:val="24"/>
        </w:rPr>
        <w:t xml:space="preserve"> оюн-зоок жайы өткөргөн кумар оюндарына түздөн-түз катышкан чет мамлекеттин жараны болуп саналган жеке жак;»;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двенадцатом слова «игорное помещение, расположенное в казино, в котором» заменить словами «игровая зона, расположенная в казино, в которой»;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четырнадцатом слова «игорное заведение, в котором» заменить словами «игровая зона или помещение, расположенные в казино, в которых»;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пятнадцатом слова «игорное заведение, в котором» заменить словами «игровая зона или помещение, расположенные в казино, в которых»;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шестнадцатом слова «казино или зала игровых автоматов» заменить словами «игорного заведения»;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uogxz4h1nz6d56qpz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«должен быть расположен в отдельном помещении» заменить словами «должен находиться в игровой зоне, расположенной 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«и залах игровых автоматов»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«Казино, включая игровую зону зала игровых автоматов и игровую зону или помещение букмекерской конторы и тотализатора, должно быть оснащено специальным оборудованием:»;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40wwzuc5pp0zrypitik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игровой зоне зала игровых автоматов в обязательном порядке должно быть установлено не менее шестидесяти игровых автоматов.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игровой зоне зала игровых автоматов не должны находиться неработающие, выведенные из строя игровые автоматы.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Игровые автоматы, установленные в игровой зоне зала игровых автоматов, могут находиться у лицензиата в собственности или аренде.».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марта 2024 года 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введения в действие настоящего Закона субъекты игорной деятельности, осуществляющие деятельность на основании лицензии, выданной до вступления в силу настоящего Закона, должны привести свою деятельность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9jpq8jtmkoproyht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dalil.kg/document/230002272</w:t>
      </w:r>
    </w:hyperlink>
  </w:p>
  <w:p>
    <w:pPr>
      <w:spacing w:after="0" w:before="40"/>
      <w:jc w:val="center"/>
    </w:pPr>
    <w:hyperlink w:history="1" r:id="rIdegvq_t01xdz1snez_c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3web965ck39ti5wdu8h" Type="http://schemas.openxmlformats.org/officeDocument/2006/relationships/hyperlink" Target="https://dalil.kg/document/112383" TargetMode="External"/><Relationship Id="rIdhu_byfanrhwszfs4pzdqc" Type="http://schemas.openxmlformats.org/officeDocument/2006/relationships/hyperlink" Target="https://dalil.kg/document/112383#st_1" TargetMode="External"/><Relationship Id="rIdslsczhyea5urca8pkaaty" Type="http://schemas.openxmlformats.org/officeDocument/2006/relationships/hyperlink" Target="https://dalil.kg/document/112383#st_1" TargetMode="External"/><Relationship Id="rIdouogxz4h1nz6d56qpzgd9" Type="http://schemas.openxmlformats.org/officeDocument/2006/relationships/hyperlink" Target="https://dalil.kg/document/112383#st_13" TargetMode="External"/><Relationship Id="rId40wwzuc5pp0zrypitik41" Type="http://schemas.openxmlformats.org/officeDocument/2006/relationships/hyperlink" Target="https://dalil.kg/document/112383#st_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9jpq8jtmkoproyhtto_" Type="http://schemas.openxmlformats.org/officeDocument/2006/relationships/hyperlink" Target="https://dalil.kg/document/230002272" TargetMode="External"/><Relationship Id="rIdegvq_t01xdz1snez_ch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2026-09-24T01:17:04.722Z</dcterms:created>
  <dcterms:modified xsi:type="dcterms:W3CDTF">2026-09-24T01:17:04.722Z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