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АГЕНТСТВА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2024 года № 67-нпа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«Состав, порядок разработки, согласования и утверждения градостроительной документации в Кыргызской Республике» от 25 января 2021 года № 41-нпа (в редакции приказа Госстроя от 19 августа 2021 года № 45-нпа, от 16 января 2023 года № 61-нпа)»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проблем в сфере архитектурно-градостроительной деятельности, руководствуясь </w:t>
      </w:r>
      <w:hyperlink w:history="1" r:id="rIdw4ogriqfiau73n5fq-n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8ogrstlgbtds7yaai58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Кабинете Министров Кыргызской Республики (далее–Госстрой), утвержденным </w:t>
      </w:r>
      <w:hyperlink w:history="1" r:id="rIdwvaivnpjivenwgzydsv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n49wwsmiibh8n4qo43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Строительные 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30-02:2020 «Состав, порядок разработки, согласования и утверждения градостроительной документации в Кыргызской Республике» от </w:t>
      </w:r>
      <w:hyperlink w:history="1" r:id="rIdrga_-mhav_vzrecc4n1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января 2021 года № 41-нпа</w:t>
        </w:r>
      </w:hyperlink>
      <w:r>
        <w:rPr>
          <w:rFonts w:ascii="Arial" w:cs="Arial" w:eastAsia="Arial" w:hAnsi="Arial"/>
          <w:sz w:val="24"/>
          <w:szCs w:val="24"/>
        </w:rPr>
        <w:t xml:space="preserve"> (в редакции приказа Госстроя от </w:t>
      </w:r>
      <w:hyperlink w:history="1" r:id="rIdv9qwtfahm5d85duvf_y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2021 года № 45-нпа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zgau9lrgzehhmag0dd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января 2023 года № 61-нпа</w:t>
        </w:r>
      </w:hyperlink>
      <w:r>
        <w:rPr>
          <w:rFonts w:ascii="Arial" w:cs="Arial" w:eastAsia="Arial" w:hAnsi="Arial"/>
          <w:sz w:val="24"/>
          <w:szCs w:val="24"/>
        </w:rPr>
        <w:t xml:space="preserve">»,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4.7.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Разработчиками градостроительной документации могут быть предприятия, организации и учреждения, имеющие соответствующие лицензии на право разработки градостроительной документации, кроме территориальных органов архитектуры и градостроительства.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органы архитектуры и градостроительства не вправе быть разработчиками градостроительной документации, а также вносить какие-либо изменения в ранее утвержденную градостроительную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4.12.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в утверждаемую часть градостроительной документации допускается при разработке следующего этапа, согласно иерархии градостроительной документации (проект детальной планировки, проект застройки) с соответствующим технико-экономическим обоснованием и утверждением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подпункта 12.2. пункта 12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 17 согласно приложению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проектному институту градостроительства и архитектуры при Государственном агентстве архитектуры строительства и жилищно-коммунального хозяйства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no2k2o0cswvncguuq-p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Госстроя М. О. Молдомырзаева.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Госстроя gosstroy.gov.kg от 16 февраля 2024 года.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(обязательное)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ПРОДОЛЖИТЕЛЬНОСТИ ГРАДОСТРОИТЕЛЬНЫХ ПРОЕКТОВ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17.1 В качестве базовых градостроительных проектов в настоящих строительных нормах рассмотрены следующие: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генеральная схема организации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межрегиональная схема территориального развития;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комплексная схема градостроительного планирования территории области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комплексный проект градостроительного планирования территории района;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генеральный план населенного пункта;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проект детальной планировки (ПДП);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проект застройки.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17.2. При пользовании таблицами </w:t>
      </w:r>
      <w:r>
        <w:rPr>
          <w:rFonts w:ascii="Arial" w:cs="Arial" w:eastAsia="Arial" w:hAnsi="Arial"/>
          <w:sz w:val="24"/>
          <w:szCs w:val="24"/>
        </w:rPr>
        <w:t xml:space="preserve">следует принимать минимальное и максимальное значение по минимальной и максимальной мощности объекта, промежуточные значение принимаются по интерполяции.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17.1</w:t>
      </w:r>
      <w:r>
        <w:rPr>
          <w:rFonts w:ascii="Arial" w:cs="Arial" w:eastAsia="Arial" w:hAnsi="Arial"/>
          <w:sz w:val="24"/>
          <w:szCs w:val="24"/>
        </w:rPr>
        <w:t xml:space="preserve"> – Продолжительность разработки градостроительного проекта на стадии градостроительного планирования территорий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6"/>
        <w:gridCol w:w="6165"/>
        <w:gridCol w:w="3638"/>
      </w:tblGrid>
      <w:tr>
        <w:tc>
          <w:tcPr>
            <w:tcW w:type="dxa" w:w="3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№п\п</w:t>
            </w:r>
          </w:p>
        </w:tc>
        <w:tc>
          <w:tcPr>
            <w:tcW w:type="dxa" w:w="6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type="dxa" w:w="3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Нормативная продолжительность.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месяцев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схема организации территории Кыргызской Республики </w:t>
            </w:r>
          </w:p>
        </w:tc>
        <w:tc>
          <w:tcPr>
            <w:tcW w:type="dxa" w:w="3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36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Межрегиональная схема территориального развития </w:t>
            </w:r>
          </w:p>
        </w:tc>
        <w:tc>
          <w:tcPr>
            <w:tcW w:type="dxa" w:w="3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Комплексная схема градостроительного планирования территории области </w:t>
            </w:r>
          </w:p>
        </w:tc>
        <w:tc>
          <w:tcPr>
            <w:tcW w:type="dxa" w:w="3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24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Комплексный проект градостроительного планирования территории района </w:t>
            </w:r>
          </w:p>
        </w:tc>
        <w:tc>
          <w:tcPr>
            <w:tcW w:type="dxa" w:w="3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18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17.2 - </w:t>
      </w:r>
      <w:r>
        <w:rPr>
          <w:rFonts w:ascii="Arial" w:cs="Arial" w:eastAsia="Arial" w:hAnsi="Arial"/>
          <w:sz w:val="24"/>
          <w:szCs w:val="24"/>
        </w:rPr>
        <w:t xml:space="preserve">Продолжительность разработки градостроительного проекта на стадии генеральных планов населенных пунктов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0"/>
        <w:gridCol w:w="2279"/>
        <w:gridCol w:w="1461"/>
        <w:gridCol w:w="1461"/>
        <w:gridCol w:w="1461"/>
        <w:gridCol w:w="2755"/>
      </w:tblGrid>
      <w:tr>
        <w:tc>
          <w:tcPr>
            <w:tcW w:type="dxa" w:w="7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п\п</w:t>
            </w:r>
          </w:p>
        </w:tc>
        <w:tc>
          <w:tcPr>
            <w:tcW w:type="dxa" w:w="22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Население тыс. чел</w:t>
            </w:r>
          </w:p>
        </w:tc>
        <w:tc>
          <w:tcPr>
            <w:tcW w:type="dxa" w:w="438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Двухстадийное проектирование, мес.</w:t>
            </w:r>
          </w:p>
        </w:tc>
        <w:tc>
          <w:tcPr>
            <w:tcW w:type="dxa" w:w="2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Одностадийное проектирование, мес.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Концепция </w:t>
            </w:r>
          </w:p>
        </w:tc>
        <w:tc>
          <w:tcPr>
            <w:tcW w:type="dxa" w:w="29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план 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Генеральный план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 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9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11,0 до 20,0 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9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21,0 до 50,0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9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51,0 до 100,0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9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101,0до  150,0 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9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151,0 до 250,0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9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251,0 до 500,0 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29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501,0 до 800,0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29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9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801,0 до 1000,0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29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1001,0 до 1500,0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42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1501,0 до 2000,0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42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17.3 - </w:t>
      </w:r>
      <w:r>
        <w:rPr>
          <w:rFonts w:ascii="Arial" w:cs="Arial" w:eastAsia="Arial" w:hAnsi="Arial"/>
          <w:sz w:val="24"/>
          <w:szCs w:val="24"/>
        </w:rPr>
        <w:t xml:space="preserve">Продолжительность разработки градостроительного проекта на стадии ПДП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6"/>
        <w:gridCol w:w="4605"/>
        <w:gridCol w:w="5198"/>
      </w:tblGrid>
      <w:tr>
        <w:tc>
          <w:tcPr>
            <w:tcW w:type="dxa" w:w="3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п\п</w:t>
            </w:r>
          </w:p>
        </w:tc>
        <w:tc>
          <w:tcPr>
            <w:tcW w:type="dxa" w:w="4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территории, 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Нормативная продолжительность, мес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яцев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</w:t>
            </w:r>
          </w:p>
        </w:tc>
        <w:tc>
          <w:tcPr>
            <w:tcW w:type="dxa" w:w="5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100</w:t>
            </w:r>
          </w:p>
        </w:tc>
        <w:tc>
          <w:tcPr>
            <w:tcW w:type="dxa" w:w="5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до 200</w:t>
            </w:r>
          </w:p>
        </w:tc>
        <w:tc>
          <w:tcPr>
            <w:tcW w:type="dxa" w:w="5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201 до 300</w:t>
            </w:r>
          </w:p>
        </w:tc>
        <w:tc>
          <w:tcPr>
            <w:tcW w:type="dxa" w:w="5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301 до 400</w:t>
            </w:r>
          </w:p>
        </w:tc>
        <w:tc>
          <w:tcPr>
            <w:tcW w:type="dxa" w:w="5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401 до 500</w:t>
            </w:r>
          </w:p>
        </w:tc>
        <w:tc>
          <w:tcPr>
            <w:tcW w:type="dxa" w:w="5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17.4 - </w:t>
      </w:r>
      <w:r>
        <w:rPr>
          <w:rFonts w:ascii="Arial" w:cs="Arial" w:eastAsia="Arial" w:hAnsi="Arial"/>
          <w:sz w:val="24"/>
          <w:szCs w:val="24"/>
        </w:rPr>
        <w:t xml:space="preserve">Продолжительность разработки застройки микрорайонов (кварталов) градостроительных комплексов с инженерными сетями, благоустройством и подготовкой территории (без привязки жилых домов, объектов культурно-бытового и коммунального назначение)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1695"/>
        <w:gridCol w:w="1442"/>
        <w:gridCol w:w="1442"/>
        <w:gridCol w:w="1712"/>
        <w:gridCol w:w="1712"/>
        <w:gridCol w:w="1712"/>
      </w:tblGrid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п\п</w:t>
            </w:r>
          </w:p>
        </w:tc>
        <w:tc>
          <w:tcPr>
            <w:tcW w:type="dxa" w:w="16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type="dxa" w:w="2884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проектирования, месяцев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Двухстадийное проектирование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Одностадийное проектирование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(П)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документация(Р)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проект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(РП)</w:t>
            </w:r>
          </w:p>
        </w:tc>
      </w:tr>
      <w:tr>
        <w:tc>
          <w:tcPr>
            <w:tcW w:type="dxa" w:w="4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Многоэтажная застройка (высота 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 м до 75 м и высотой более 75 )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тыс.кв..м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общей площади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-//-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 до 100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4,5 до 5,5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5,0 до 6,5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8,0 до 9,5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-//-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до 150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5,5 до 6,0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6,5 до 7,0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9,5 до 10,5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-//-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151 до 250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6,0 до 6,5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от7,0 до 8,0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10,5 до 11,0</w:t>
            </w:r>
          </w:p>
        </w:tc>
      </w:tr>
      <w:tr>
        <w:tc>
          <w:tcPr>
            <w:tcW w:type="dxa" w:w="464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Малоэтажная застройка (высота до 28м)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-//-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250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6,5 до 7,0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8,0 до 8,5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11,0 до11,5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-//-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16 до75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от5,0 до 7,0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5,5 до 8,0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11,5 до 13,0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-//-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75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7,0 до 8,0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8,0 до 8,5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11,5 до 13,0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При наличии усложняющих факторов на площади более 30 % территории микрорайона (квартала) применять коэффициенты: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-на существующую сохраняемую застройку-1,2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-при уклонах поверхности менее 0.005‰ и более 0,05‰ =1,1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gfab5c7vinxcdjmkc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dalil.kg/document/230002322</w:t>
      </w:r>
    </w:hyperlink>
  </w:p>
  <w:p>
    <w:pPr>
      <w:spacing w:after="0" w:before="40"/>
      <w:jc w:val="center"/>
    </w:pPr>
    <w:hyperlink w:history="1" r:id="rIdvlzco-affuhznw18ckk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4ogriqfiau73n5fq-nsu" Type="http://schemas.openxmlformats.org/officeDocument/2006/relationships/hyperlink" Target="https://dalil.kg/document/160035" TargetMode="External"/><Relationship Id="rId8ogrstlgbtds7yaai58ng" Type="http://schemas.openxmlformats.org/officeDocument/2006/relationships/hyperlink" Target="https://dalil.kg/document/158345" TargetMode="External"/><Relationship Id="rIdwvaivnpjivenwgzydsvzg" Type="http://schemas.openxmlformats.org/officeDocument/2006/relationships/hyperlink" Target="https://dalil.kg/document/158344" TargetMode="External"/><Relationship Id="rIdhn49wwsmiibh8n4qo43et" Type="http://schemas.openxmlformats.org/officeDocument/2006/relationships/hyperlink" Target="https://dalil.kg/document/200606" TargetMode="External"/><Relationship Id="rIdrga_-mhav_vzrecc4n1li" Type="http://schemas.openxmlformats.org/officeDocument/2006/relationships/hyperlink" Target="https://dalil.kg/document/200605" TargetMode="External"/><Relationship Id="rIdv9qwtfahm5d85duvf_ytj" Type="http://schemas.openxmlformats.org/officeDocument/2006/relationships/hyperlink" Target="https://dalil.kg/document/200719" TargetMode="External"/><Relationship Id="rIdjzgau9lrgzehhmag0ddrz" Type="http://schemas.openxmlformats.org/officeDocument/2006/relationships/hyperlink" Target="https://dalil.kg/document/200759" TargetMode="External"/><Relationship Id="rIdno2k2o0cswvncguuq-pug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gfab5c7vinxcdjmkc-y" Type="http://schemas.openxmlformats.org/officeDocument/2006/relationships/hyperlink" Target="https://dalil.kg/document/230002322" TargetMode="External"/><Relationship Id="rIdvlzco-affuhznw18ckk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2026-09-27T21:35:27.098Z</dcterms:created>
  <dcterms:modified xsi:type="dcterms:W3CDTF">2026-09-27T21:35:27.098Z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