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oaro1hzbjql4xnedpumy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апреля 2024 года № 157)</w:t>
      </w:r>
    </w:p>
    <w:p>
      <w:pPr>
        <w:spacing w:after="400" w:before="400"/>
        <w:jc w:val="center"/>
      </w:pPr>
      <w:r>
        <w:rPr>
          <w:rFonts w:ascii="Arial" w:cs="Arial" w:eastAsia="Arial" w:hAnsi="Arial"/>
          <w:b/>
          <w:bCs/>
          <w:sz w:val="28"/>
          <w:szCs w:val="28"/>
        </w:rPr>
        <w:t xml:space="preserve">ПОЛОЖЕНИЕ
 об Агентстве по защите депозитов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Агентства по защите депозитов Кыргызской Республики (далее - Агентство), его полномочия, задачи, функции.</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4q-aei92xhtmibjlzolc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по защите депозитов Кыргызской Республики - независимая, некоммерческая организация с самостоятельной организационно-правовой формой - Агентство по защите депозитов, наделенная полномочиями, правами и обязанностями, установленными в </w:t>
      </w:r>
      <w:hyperlink w:history="1" r:id="rIdzxkxfyy_bsv83tbtrbgi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4. Агентство имеет печать с изображением Государственного герба Кыргызской Республики и своим наименованием на государственном и официальном языках. Полное официальное наименование Агентства:</w:t>
      </w:r>
    </w:p>
    <w:p>
      <w:pPr>
        <w:spacing w:after="60"/>
        <w:ind w:firstLine="567"/>
        <w:jc w:val="both"/>
      </w:pPr>
      <w:r>
        <w:rPr>
          <w:rFonts w:ascii="Arial" w:cs="Arial" w:eastAsia="Arial" w:hAnsi="Arial"/>
          <w:sz w:val="24"/>
          <w:szCs w:val="24"/>
        </w:rPr>
        <w:t xml:space="preserve">на государственном языке: Кыргыз Республикасынын Депозиттерди коргоо боюнча агенттиги;</w:t>
      </w:r>
    </w:p>
    <w:p>
      <w:pPr>
        <w:spacing w:after="60"/>
        <w:ind w:firstLine="567"/>
        <w:jc w:val="both"/>
      </w:pPr>
      <w:r>
        <w:rPr>
          <w:rFonts w:ascii="Arial" w:cs="Arial" w:eastAsia="Arial" w:hAnsi="Arial"/>
          <w:sz w:val="24"/>
          <w:szCs w:val="24"/>
        </w:rPr>
        <w:t xml:space="preserve">на официальном языке: Агентство по защите депозитов Кыргызской Республики.</w:t>
      </w:r>
    </w:p>
    <w:p>
      <w:pPr>
        <w:spacing w:after="60"/>
        <w:ind w:firstLine="567"/>
        <w:jc w:val="both"/>
      </w:pPr>
      <w:r>
        <w:rPr>
          <w:rFonts w:ascii="Arial" w:cs="Arial" w:eastAsia="Arial" w:hAnsi="Arial"/>
          <w:sz w:val="24"/>
          <w:szCs w:val="24"/>
        </w:rPr>
        <w:t xml:space="preserve">5. Агентство имеет штампы, фирменный бланк установленного образца.</w:t>
      </w:r>
    </w:p>
    <w:p>
      <w:pPr>
        <w:spacing w:after="60"/>
        <w:ind w:firstLine="567"/>
        <w:jc w:val="both"/>
      </w:pPr>
      <w:r>
        <w:rPr>
          <w:rFonts w:ascii="Arial" w:cs="Arial" w:eastAsia="Arial" w:hAnsi="Arial"/>
          <w:sz w:val="24"/>
          <w:szCs w:val="24"/>
        </w:rPr>
        <w:t xml:space="preserve">6. Счет Агентства, предназначенный для пополнения Фонда защиты депозитов за счет взносов Кабинета Министров Кыргызской Республики (далее - Кабинет Министров) и коммерческих банков, микрофинансовых компаний, жилищно-сберегательных кредитных компаний, подлежит открытию и обслуживанию в Национальном банке Кыргызской Республики (далее - Национальный банк). Банковские счета Агентства, предназначенные для операционных расходов и иных затрат Агентства, открываются в коммерческих банках.</w:t>
      </w:r>
    </w:p>
    <w:p>
      <w:pPr>
        <w:spacing w:after="60"/>
        <w:ind w:firstLine="567"/>
        <w:jc w:val="both"/>
      </w:pPr>
      <w:r>
        <w:rPr>
          <w:rFonts w:ascii="Arial" w:cs="Arial" w:eastAsia="Arial" w:hAnsi="Arial"/>
          <w:sz w:val="24"/>
          <w:szCs w:val="24"/>
        </w:rPr>
        <w:t xml:space="preserve">7. Агентство имеет право создавать представительства и назначать своих представителей в регионах Кыргызской Республики.</w:t>
      </w:r>
    </w:p>
    <w:p>
      <w:pPr>
        <w:spacing w:after="200" w:before="200"/>
        <w:jc w:val="center"/>
      </w:pPr>
      <w:r>
        <w:rPr>
          <w:rFonts w:ascii="Arial" w:cs="Arial" w:eastAsia="Arial" w:hAnsi="Arial"/>
          <w:b/>
          <w:bCs/>
          <w:sz w:val="32"/>
          <w:szCs w:val="32"/>
        </w:rPr>
        <w:t xml:space="preserve">Глава 2.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1) обеспечение эффективной системы защиты депозитов в Кыргызской Республике;</w:t>
      </w:r>
    </w:p>
    <w:p>
      <w:pPr>
        <w:spacing w:after="60"/>
        <w:ind w:firstLine="567"/>
        <w:jc w:val="both"/>
      </w:pPr>
      <w:r>
        <w:rPr>
          <w:rFonts w:ascii="Arial" w:cs="Arial" w:eastAsia="Arial" w:hAnsi="Arial"/>
          <w:sz w:val="24"/>
          <w:szCs w:val="24"/>
        </w:rPr>
        <w:t xml:space="preserve">2) выполнение функций ликвидатора банков и иных финансово-кредитных организаций, осуществляющих прием вкладов, лицензируемых Национальным банком в установленном законодательством порядке;</w:t>
      </w:r>
    </w:p>
    <w:p>
      <w:pPr>
        <w:spacing w:after="60"/>
        <w:ind w:firstLine="567"/>
        <w:jc w:val="both"/>
      </w:pPr>
      <w:r>
        <w:rPr>
          <w:rFonts w:ascii="Arial" w:cs="Arial" w:eastAsia="Arial" w:hAnsi="Arial"/>
          <w:sz w:val="24"/>
          <w:szCs w:val="24"/>
        </w:rPr>
        <w:t xml:space="preserve">3) рассмотрение обращений проблемных заемщиков банков и иных финансово-кредитных организаций, лицензируемых Национальным банком.</w:t>
      </w:r>
    </w:p>
    <w:p>
      <w:pPr>
        <w:spacing w:after="200" w:before="200"/>
        <w:jc w:val="center"/>
      </w:pPr>
      <w:r>
        <w:rPr>
          <w:rFonts w:ascii="Arial" w:cs="Arial" w:eastAsia="Arial" w:hAnsi="Arial"/>
          <w:b/>
          <w:bCs/>
          <w:sz w:val="32"/>
          <w:szCs w:val="32"/>
        </w:rPr>
        <w:t xml:space="preserve">Глава 3. Функции Агентства</w:t>
      </w:r>
    </w:p>
    <w:p>
      <w:pPr>
        <w:spacing w:after="60"/>
        <w:ind w:firstLine="567"/>
        <w:jc w:val="both"/>
      </w:pPr>
      <w:r>
        <w:rPr>
          <w:rFonts w:ascii="Arial" w:cs="Arial" w:eastAsia="Arial" w:hAnsi="Arial"/>
          <w:sz w:val="24"/>
          <w:szCs w:val="24"/>
        </w:rPr>
        <w:t xml:space="preserve">9. Агентство по защите депозитов осуществляет следующие функции:</w:t>
      </w:r>
    </w:p>
    <w:p>
      <w:pPr>
        <w:spacing w:after="60"/>
        <w:ind w:firstLine="567"/>
        <w:jc w:val="both"/>
      </w:pPr>
      <w:r>
        <w:rPr>
          <w:rFonts w:ascii="Arial" w:cs="Arial" w:eastAsia="Arial" w:hAnsi="Arial"/>
          <w:sz w:val="24"/>
          <w:szCs w:val="24"/>
        </w:rPr>
        <w:t xml:space="preserve">1) ведет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60"/>
        <w:ind w:firstLine="567"/>
        <w:jc w:val="both"/>
      </w:pPr>
      <w:r>
        <w:rPr>
          <w:rFonts w:ascii="Arial" w:cs="Arial" w:eastAsia="Arial" w:hAnsi="Arial"/>
          <w:sz w:val="24"/>
          <w:szCs w:val="24"/>
        </w:rPr>
        <w:t xml:space="preserve">3) выплачивает вкладчикам, подпадающим под действие </w:t>
      </w:r>
      <w:hyperlink w:history="1" r:id="rIdtse_xgjszmdcmli6jr3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сумму, определенную указанным Законом;</w:t>
      </w:r>
    </w:p>
    <w:p>
      <w:pPr>
        <w:spacing w:after="60"/>
        <w:ind w:firstLine="567"/>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60"/>
        <w:ind w:firstLine="567"/>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60"/>
        <w:ind w:firstLine="567"/>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60"/>
        <w:ind w:firstLine="567"/>
        <w:jc w:val="both"/>
      </w:pPr>
      <w:r>
        <w:rPr>
          <w:rFonts w:ascii="Arial" w:cs="Arial" w:eastAsia="Arial" w:hAnsi="Arial"/>
          <w:sz w:val="24"/>
          <w:szCs w:val="24"/>
        </w:rPr>
        <w:t xml:space="preserve">7) управляет активами Фонда защиты депозитов в порядке и пределах, установленных </w:t>
      </w:r>
      <w:hyperlink w:history="1" r:id="rIdwdy4iuhuc0ucrtoeuqq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8) осуществляет взаимодействие с государственными органами и другими организациями;</w:t>
      </w:r>
    </w:p>
    <w:p>
      <w:pPr>
        <w:spacing w:after="60"/>
        <w:ind w:firstLine="567"/>
        <w:jc w:val="both"/>
      </w:pPr>
      <w:r>
        <w:rPr>
          <w:rFonts w:ascii="Arial" w:cs="Arial" w:eastAsia="Arial" w:hAnsi="Arial"/>
          <w:sz w:val="24"/>
          <w:szCs w:val="24"/>
        </w:rPr>
        <w:t xml:space="preserve">9) осуществляет отбор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10) обеспечивает возмещение выплаченных компенсаций в фонд защиты депозитов с ликвидируемых банков, микрофинансовых компаний и жилищно-сберегательных кредитных компаний в соответствии с </w:t>
      </w:r>
      <w:hyperlink w:history="1" r:id="rIdexpptuh7rq8fz_mb3ucv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11) привлекает заемные и иные средства в случае их недостатка для выплаты вкладчикам компенсационных сумм;</w:t>
      </w:r>
    </w:p>
    <w:p>
      <w:pPr>
        <w:spacing w:after="60"/>
        <w:ind w:firstLine="567"/>
        <w:jc w:val="both"/>
      </w:pPr>
      <w:r>
        <w:rPr>
          <w:rFonts w:ascii="Arial" w:cs="Arial" w:eastAsia="Arial" w:hAnsi="Arial"/>
          <w:sz w:val="24"/>
          <w:szCs w:val="24"/>
        </w:rPr>
        <w:t xml:space="preserve">12) обеспечивает внутренний контроль;</w:t>
      </w:r>
    </w:p>
    <w:p>
      <w:pPr>
        <w:spacing w:after="60"/>
        <w:ind w:firstLine="567"/>
        <w:jc w:val="both"/>
      </w:pPr>
      <w:r>
        <w:rPr>
          <w:rFonts w:ascii="Arial" w:cs="Arial" w:eastAsia="Arial" w:hAnsi="Arial"/>
          <w:sz w:val="24"/>
          <w:szCs w:val="24"/>
        </w:rPr>
        <w:t xml:space="preserve">13) проводит мероприятия по повышению осведомленности общества о системе защиты депозитов;</w:t>
      </w:r>
    </w:p>
    <w:p>
      <w:pPr>
        <w:spacing w:after="60"/>
        <w:ind w:firstLine="567"/>
        <w:jc w:val="both"/>
      </w:pPr>
      <w:r>
        <w:rPr>
          <w:rFonts w:ascii="Arial" w:cs="Arial" w:eastAsia="Arial" w:hAnsi="Arial"/>
          <w:sz w:val="24"/>
          <w:szCs w:val="24"/>
        </w:rPr>
        <w:t xml:space="preserve">14) на регулярной основе проводит тестирование готовности участников системы защиты депозитов к наступлению гарантийного случая;</w:t>
      </w:r>
    </w:p>
    <w:p>
      <w:pPr>
        <w:spacing w:after="60"/>
        <w:ind w:firstLine="567"/>
        <w:jc w:val="both"/>
      </w:pPr>
      <w:r>
        <w:rPr>
          <w:rFonts w:ascii="Arial" w:cs="Arial" w:eastAsia="Arial" w:hAnsi="Arial"/>
          <w:sz w:val="24"/>
          <w:szCs w:val="24"/>
        </w:rPr>
        <w:t xml:space="preserve">15) выступает в качестве ликвидатора банков и финансово-кредитных организаций в установленном законодательством порядке;</w:t>
      </w:r>
    </w:p>
    <w:p>
      <w:pPr>
        <w:spacing w:after="60"/>
        <w:ind w:firstLine="567"/>
        <w:jc w:val="both"/>
      </w:pPr>
      <w:r>
        <w:rPr>
          <w:rFonts w:ascii="Arial" w:cs="Arial" w:eastAsia="Arial" w:hAnsi="Arial"/>
          <w:sz w:val="24"/>
          <w:szCs w:val="24"/>
        </w:rPr>
        <w:t xml:space="preserve">16) представляет в суд, Национальный банк предварительный, текущий и заключительный отчеты о ходе проведения ликвидации банков и иных финансово-кредитных организаций в соответствии с </w:t>
      </w:r>
      <w:hyperlink w:history="1" r:id="rId6enewj6xkj1kfaqu1wed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17) в порядке, определяемом Кабинетом Министров, рассматривает обращения проблемных заемщиков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18) осуществляет на договорной основе агентские услуги по взысканию задолженности банков перед Национальным банком и государственным бюджетом, переданных в порядке правопреемства;</w:t>
      </w:r>
    </w:p>
    <w:p>
      <w:pPr>
        <w:spacing w:after="60"/>
        <w:ind w:firstLine="567"/>
        <w:jc w:val="both"/>
      </w:pPr>
      <w:r>
        <w:rPr>
          <w:rFonts w:ascii="Arial" w:cs="Arial" w:eastAsia="Arial" w:hAnsi="Arial"/>
          <w:sz w:val="24"/>
          <w:szCs w:val="24"/>
        </w:rPr>
        <w:t xml:space="preserve">19) осуществляет иные функции по обеспечению эффективной деятельности системы обязательной защиты депозитов, по ликвидации банков и финансово-кредитных организаций, а также по рассмотрению обращений проблемных заемщиков, предусмотренных положением, утверждаемым Кабинетом Министров.</w:t>
      </w:r>
    </w:p>
    <w:p>
      <w:pPr>
        <w:spacing w:after="200" w:before="200"/>
        <w:jc w:val="center"/>
      </w:pPr>
      <w:r>
        <w:rPr>
          <w:rFonts w:ascii="Arial" w:cs="Arial" w:eastAsia="Arial" w:hAnsi="Arial"/>
          <w:b/>
          <w:bCs/>
          <w:sz w:val="32"/>
          <w:szCs w:val="32"/>
        </w:rPr>
        <w:t xml:space="preserve">Глава 4. Полномочия Агентства</w:t>
      </w:r>
    </w:p>
    <w:p>
      <w:pPr>
        <w:spacing w:after="60"/>
        <w:ind w:firstLine="567"/>
        <w:jc w:val="both"/>
      </w:pPr>
      <w:r>
        <w:rPr>
          <w:rFonts w:ascii="Arial" w:cs="Arial" w:eastAsia="Arial" w:hAnsi="Arial"/>
          <w:sz w:val="24"/>
          <w:szCs w:val="24"/>
        </w:rPr>
        <w:t xml:space="preserve">10. Агентство разрабатывает проекты нормативных правовых актов, необходимых для выполнения положений </w:t>
      </w:r>
      <w:hyperlink w:history="1" r:id="rIderi4eo5lw-tc25m_ln0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утверждаемые Кабинетом Министров.</w:t>
      </w:r>
    </w:p>
    <w:p>
      <w:pPr>
        <w:spacing w:after="60"/>
        <w:ind w:firstLine="567"/>
        <w:jc w:val="both"/>
      </w:pPr>
      <w:r>
        <w:rPr>
          <w:rFonts w:ascii="Arial" w:cs="Arial" w:eastAsia="Arial" w:hAnsi="Arial"/>
          <w:sz w:val="24"/>
          <w:szCs w:val="24"/>
        </w:rPr>
        <w:t xml:space="preserve">11. При необходимости Агентство привлекает государственные органы и независимых экспертов для выполнения задач, установленных </w:t>
      </w:r>
      <w:hyperlink w:history="1" r:id="rIdm8ns2cgcmdebafew8ed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12. Для реализации задач и функций Агентство вправе:</w:t>
      </w:r>
    </w:p>
    <w:p>
      <w:pPr>
        <w:spacing w:after="60"/>
        <w:ind w:firstLine="567"/>
        <w:jc w:val="both"/>
      </w:pPr>
      <w:r>
        <w:rPr>
          <w:rFonts w:ascii="Arial" w:cs="Arial" w:eastAsia="Arial" w:hAnsi="Arial"/>
          <w:sz w:val="24"/>
          <w:szCs w:val="24"/>
        </w:rPr>
        <w:t xml:space="preserve">1) заключать договоры,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2) обращаться в Национальный банк с предложением о применении к банкам, микрофинансовым компаниям и жилищно-сберегательным кредитным компаниям соответствующих мер воздействия, предусмотренных законами Кыргызской Республики "</w:t>
      </w:r>
      <w:hyperlink w:history="1" r:id="rId29rbechrzvb08r2-jlfyn">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r>
        <w:rPr>
          <w:rFonts w:ascii="Arial" w:cs="Arial" w:eastAsia="Arial" w:hAnsi="Arial"/>
          <w:sz w:val="24"/>
          <w:szCs w:val="24"/>
        </w:rPr>
        <w:t xml:space="preserve">О микрофинансовых организациях в Кыргызской Республике</w:t>
      </w:r>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3) обращаться в Национальный банк за информацией, необходимой для выполнения задач, определенных </w:t>
      </w:r>
      <w:hyperlink w:history="1" r:id="rIdrl7m_bwmaw1ubeygwf6b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4) требовать от банков-участников, микрофинансовых компаний-участников, жилищно-сберегательных кредитных компаний-участников размещения информации о системе защиты депозитов и участии их в системе защиты депозитов на территории предоставления банком, микрофинансовой компанией, жилищно-сберегательной кредитной компанией услуг вкладчикам в форме и порядке, определенном </w:t>
      </w:r>
      <w:hyperlink w:history="1" r:id="rIdmn-zylivfgmxccohfr04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5) требовать от ликвидатора или временного администратора банка, микрофинансовой компании, жилищно-сберегательной кредитной компании, в которых наступил гарантийный случай, информацию о депозитах физических лиц и индивидуальных предпринимателей по форме, установленной Агентством;</w:t>
      </w:r>
    </w:p>
    <w:p>
      <w:pPr>
        <w:spacing w:after="60"/>
        <w:ind w:firstLine="567"/>
        <w:jc w:val="both"/>
      </w:pPr>
      <w:r>
        <w:rPr>
          <w:rFonts w:ascii="Arial" w:cs="Arial" w:eastAsia="Arial" w:hAnsi="Arial"/>
          <w:sz w:val="24"/>
          <w:szCs w:val="24"/>
        </w:rPr>
        <w:t xml:space="preserve">6) приобретать недвижимое и движимое имущество, необходимое только для обеспечения деятельности Агентства;</w:t>
      </w:r>
    </w:p>
    <w:p>
      <w:pPr>
        <w:spacing w:after="60"/>
        <w:ind w:firstLine="567"/>
        <w:jc w:val="both"/>
      </w:pPr>
      <w:r>
        <w:rPr>
          <w:rFonts w:ascii="Arial" w:cs="Arial" w:eastAsia="Arial" w:hAnsi="Arial"/>
          <w:sz w:val="24"/>
          <w:szCs w:val="24"/>
        </w:rPr>
        <w:t xml:space="preserve">7) совместно с Национальным банком и в соответствии с порядком, согласованным с Национальным банком, участвовать в процессе урегулирования проблем банка, микрофинансовой компании и жилищно-сберегательной кредитной компании на ранней стадии по вопросам установления соответствия ведения сведений о вкладах (депозитах) определенным требованиям, объему и структуре обязательств банков, микрофинансовых компаний и жилищно-сберегательных кредитных компаний перед вкладчиками, уплаты взносов в Фонд защиты депозитов, а также исполнения банками, микрофинансовыми компаниями и жилищно-сберегательными кредитными компаниями иных обязанностей, установленных </w:t>
      </w:r>
      <w:hyperlink w:history="1" r:id="rIdab2uaq-k0kste4lp__r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8) в соответствии с Законом Кыргызской Республики "О банках и банковской деятельности" на общих основаниях участвовать в качестве претендента в отборе кандидатов для осуществления функций ликвидатора банка;</w:t>
      </w:r>
    </w:p>
    <w:p>
      <w:pPr>
        <w:spacing w:after="60"/>
        <w:ind w:firstLine="567"/>
        <w:jc w:val="both"/>
      </w:pPr>
      <w:r>
        <w:rPr>
          <w:rFonts w:ascii="Arial" w:cs="Arial" w:eastAsia="Arial" w:hAnsi="Arial"/>
          <w:sz w:val="24"/>
          <w:szCs w:val="24"/>
        </w:rPr>
        <w:t xml:space="preserve">9) обращаться в Национальный банк об оказании содействия в получении необходимой информации от финансово-кредитных организаций, а также в проведении необходимых заключений, экспертиз и иных мероприятий по вопросам, входящим в его компетенцию, при рассмотрении обращений проблемных заемщиков банков и иных финансово-кредитных организаций Агентством;</w:t>
      </w:r>
    </w:p>
    <w:p>
      <w:pPr>
        <w:spacing w:after="60"/>
        <w:ind w:firstLine="567"/>
        <w:jc w:val="both"/>
      </w:pPr>
      <w:r>
        <w:rPr>
          <w:rFonts w:ascii="Arial" w:cs="Arial" w:eastAsia="Arial" w:hAnsi="Arial"/>
          <w:sz w:val="24"/>
          <w:szCs w:val="24"/>
        </w:rPr>
        <w:t xml:space="preserve">10) в ходе осуществления мер по передаче или продаже активов и обязательств банка в соответствии с </w:t>
      </w:r>
      <w:hyperlink w:history="1" r:id="rId1uvfxjd4p5_h08f3jyo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использовать средства Фонда защиты депозитов в объеме и на условиях, согласованных с Национальным банком.</w:t>
      </w:r>
    </w:p>
    <w:p>
      <w:pPr>
        <w:spacing w:after="60"/>
        <w:ind w:firstLine="567"/>
        <w:jc w:val="both"/>
      </w:pPr>
      <w:r>
        <w:rPr>
          <w:rFonts w:ascii="Arial" w:cs="Arial" w:eastAsia="Arial" w:hAnsi="Arial"/>
          <w:sz w:val="24"/>
          <w:szCs w:val="24"/>
        </w:rPr>
        <w:t xml:space="preserve">13. Для целей осуществления Агентством задач по ликвидации банков и иных финансово-кредитных организаций, лицензируемых Национальным банком, Агентство:</w:t>
      </w:r>
    </w:p>
    <w:p>
      <w:pPr>
        <w:spacing w:after="60"/>
        <w:ind w:firstLine="567"/>
        <w:jc w:val="both"/>
      </w:pPr>
      <w:r>
        <w:rPr>
          <w:rFonts w:ascii="Arial" w:cs="Arial" w:eastAsia="Arial" w:hAnsi="Arial"/>
          <w:sz w:val="24"/>
          <w:szCs w:val="24"/>
        </w:rPr>
        <w:t xml:space="preserve">1) проводит процедуру ликвидации банков и иных финансово-кредитных организаций, переданных в его ведение;</w:t>
      </w:r>
    </w:p>
    <w:p>
      <w:pPr>
        <w:spacing w:after="60"/>
        <w:ind w:firstLine="567"/>
        <w:jc w:val="both"/>
      </w:pPr>
      <w:r>
        <w:rPr>
          <w:rFonts w:ascii="Arial" w:cs="Arial" w:eastAsia="Arial" w:hAnsi="Arial"/>
          <w:sz w:val="24"/>
          <w:szCs w:val="24"/>
        </w:rPr>
        <w:t xml:space="preserve">2) обладает полномочиями всех органов управления ликвидируемого банка и иной финансово-кредитной организации и является его единственным законным представителем как юридического лица, если иное не установлено </w:t>
      </w:r>
      <w:hyperlink w:history="1" r:id="rIdzbzs8ngecd9kmfygsjig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3) осуществляет взыскание, реализацию активов ликвидируемого банка или иной финансово-кредитной организации и последующее распределение средств между кредиторами в соответствии с </w:t>
      </w:r>
      <w:hyperlink w:history="1" r:id="rId_miu_jo_nb2knhbyrrli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4) запрашивает и получает необходимую информацию от государственных органов, банков и иных финансово-кредитных организаций, других юридических и физических лиц в рамках полномочий, предоставленных Агентству по ликвидации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5) с момента назначения судом ликвидатором Агентство:</w:t>
      </w:r>
    </w:p>
    <w:p>
      <w:pPr>
        <w:spacing w:after="60"/>
        <w:ind w:firstLine="567"/>
        <w:jc w:val="both"/>
      </w:pPr>
      <w:r>
        <w:rPr>
          <w:rFonts w:ascii="Arial" w:cs="Arial" w:eastAsia="Arial" w:hAnsi="Arial"/>
          <w:sz w:val="24"/>
          <w:szCs w:val="24"/>
        </w:rPr>
        <w:t xml:space="preserve">- принимает ликвидируемый банк или иную финансово-кредитную организацию в свое ведение, проводит инвентаризацию активов, счетов и документов, принимает меры по обеспечению сохранности его активов;</w:t>
      </w:r>
    </w:p>
    <w:p>
      <w:pPr>
        <w:spacing w:after="60"/>
        <w:ind w:firstLine="567"/>
        <w:jc w:val="both"/>
      </w:pPr>
      <w:r>
        <w:rPr>
          <w:rFonts w:ascii="Arial" w:cs="Arial" w:eastAsia="Arial" w:hAnsi="Arial"/>
          <w:sz w:val="24"/>
          <w:szCs w:val="24"/>
        </w:rPr>
        <w:t xml:space="preserve">- распоряжается имуществом, совершает любые правомерные действия со всеми активами ликвидируемого банка или иной финансово-кредитной организации в целях оптимального удовлетворения требований кредиторов, принимает меры по взысканию задолженности перед ликвидируемым банком, а также меры, направленные на поиск, выявление и возврат его имущества и активов;</w:t>
      </w:r>
    </w:p>
    <w:p>
      <w:pPr>
        <w:spacing w:after="60"/>
        <w:ind w:firstLine="567"/>
        <w:jc w:val="both"/>
      </w:pPr>
      <w:r>
        <w:rPr>
          <w:rFonts w:ascii="Arial" w:cs="Arial" w:eastAsia="Arial" w:hAnsi="Arial"/>
          <w:sz w:val="24"/>
          <w:szCs w:val="24"/>
        </w:rPr>
        <w:t xml:space="preserve">- запрашивает и получает необходимую информацию от государственных органов, банков и иных финансово-кредитных организаций, других юридических и физических лиц в рамках полномочий, предоставленных Агентству;</w:t>
      </w:r>
    </w:p>
    <w:p>
      <w:pPr>
        <w:spacing w:after="60"/>
        <w:ind w:firstLine="567"/>
        <w:jc w:val="both"/>
      </w:pPr>
      <w:r>
        <w:rPr>
          <w:rFonts w:ascii="Arial" w:cs="Arial" w:eastAsia="Arial" w:hAnsi="Arial"/>
          <w:sz w:val="24"/>
          <w:szCs w:val="24"/>
        </w:rPr>
        <w:t xml:space="preserve">- проверяет обоснованность требований кредиторов и в случае необоснованности требований отклоняет их полностью или частично, а также исполняет иные функции, вытекающие из </w:t>
      </w:r>
      <w:hyperlink w:history="1" r:id="rIdrn0in6kdh53uyozgu7g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по осуществлению процедуры ликвидации банков и иных финансово-кредитных организаций;</w:t>
      </w:r>
    </w:p>
    <w:p>
      <w:pPr>
        <w:spacing w:after="60"/>
        <w:ind w:firstLine="567"/>
        <w:jc w:val="both"/>
      </w:pPr>
      <w:r>
        <w:rPr>
          <w:rFonts w:ascii="Arial" w:cs="Arial" w:eastAsia="Arial" w:hAnsi="Arial"/>
          <w:sz w:val="24"/>
          <w:szCs w:val="24"/>
        </w:rPr>
        <w:t xml:space="preserve">6) осуществляет выплаты по распределению невостребованных средств кредиторов ликвидированных банков;</w:t>
      </w:r>
    </w:p>
    <w:p>
      <w:pPr>
        <w:spacing w:after="60"/>
        <w:ind w:firstLine="567"/>
        <w:jc w:val="both"/>
      </w:pPr>
      <w:r>
        <w:rPr>
          <w:rFonts w:ascii="Arial" w:cs="Arial" w:eastAsia="Arial" w:hAnsi="Arial"/>
          <w:sz w:val="24"/>
          <w:szCs w:val="24"/>
        </w:rPr>
        <w:t xml:space="preserve">7) осуществляет взыскание по кредитам, перешедшим по договорам уступки права требования, в целях дальнейшего распределения средств между акционерами ликвидированного банка;</w:t>
      </w:r>
    </w:p>
    <w:p>
      <w:pPr>
        <w:spacing w:after="60"/>
        <w:ind w:firstLine="567"/>
        <w:jc w:val="both"/>
      </w:pPr>
      <w:r>
        <w:rPr>
          <w:rFonts w:ascii="Arial" w:cs="Arial" w:eastAsia="Arial" w:hAnsi="Arial"/>
          <w:sz w:val="24"/>
          <w:szCs w:val="24"/>
        </w:rPr>
        <w:t xml:space="preserve">8) предоставляет ежегодный отчет о проделанной работе по подпунктам 6 и 7 пункта 3 настоящего Положения в Национальный банк.</w:t>
      </w:r>
    </w:p>
    <w:p>
      <w:pPr>
        <w:spacing w:after="60"/>
        <w:ind w:firstLine="567"/>
        <w:jc w:val="both"/>
      </w:pPr>
      <w:r>
        <w:rPr>
          <w:rFonts w:ascii="Arial" w:cs="Arial" w:eastAsia="Arial" w:hAnsi="Arial"/>
          <w:sz w:val="24"/>
          <w:szCs w:val="24"/>
        </w:rPr>
        <w:t xml:space="preserve">14. Агентство не вправе:</w:t>
      </w:r>
    </w:p>
    <w:p>
      <w:pPr>
        <w:spacing w:after="60"/>
        <w:ind w:firstLine="567"/>
        <w:jc w:val="both"/>
      </w:pPr>
      <w:r>
        <w:rPr>
          <w:rFonts w:ascii="Arial" w:cs="Arial" w:eastAsia="Arial" w:hAnsi="Arial"/>
          <w:sz w:val="24"/>
          <w:szCs w:val="24"/>
        </w:rPr>
        <w:t xml:space="preserve">1) заниматься деятельностью, выходящей за пределы его задач, функций и полномочий, определенных </w:t>
      </w:r>
      <w:hyperlink w:history="1" r:id="rIdn5lvf3cqbqjq5n2pu31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2) создавать или быть участником юридических лиц;</w:t>
      </w:r>
    </w:p>
    <w:p>
      <w:pPr>
        <w:spacing w:after="60"/>
        <w:ind w:firstLine="567"/>
        <w:jc w:val="both"/>
      </w:pPr>
      <w:r>
        <w:rPr>
          <w:rFonts w:ascii="Arial" w:cs="Arial" w:eastAsia="Arial" w:hAnsi="Arial"/>
          <w:sz w:val="24"/>
          <w:szCs w:val="24"/>
        </w:rPr>
        <w:t xml:space="preserve">3) осуществлять кредитование, предоставлять в любой форме финансовую и нефинансовую помощь Кабинету Министров Кыргызской Республики, другим государственным органам, юридическим и физическим лицам, общественным организациям, за исключением случаев, предусмотренных </w:t>
      </w:r>
      <w:hyperlink w:history="1" r:id="rIddcmdredrpy24jrkvalyl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а также приобретать недвижимое и движимое имущество, за исключением имущества, связанного с обеспечением деятельности Агентства.</w:t>
      </w:r>
    </w:p>
    <w:p>
      <w:pPr>
        <w:spacing w:after="200" w:before="200"/>
        <w:jc w:val="center"/>
      </w:pPr>
      <w:r>
        <w:rPr>
          <w:rFonts w:ascii="Arial" w:cs="Arial" w:eastAsia="Arial" w:hAnsi="Arial"/>
          <w:b/>
          <w:bCs/>
          <w:sz w:val="32"/>
          <w:szCs w:val="32"/>
        </w:rPr>
        <w:t xml:space="preserve">Глава 5. Органы управления Агентства</w:t>
      </w:r>
    </w:p>
    <w:p>
      <w:pPr>
        <w:spacing w:after="60"/>
        <w:ind w:firstLine="567"/>
        <w:jc w:val="both"/>
      </w:pPr>
      <w:r>
        <w:rPr>
          <w:rFonts w:ascii="Arial" w:cs="Arial" w:eastAsia="Arial" w:hAnsi="Arial"/>
          <w:sz w:val="24"/>
          <w:szCs w:val="24"/>
        </w:rPr>
        <w:t xml:space="preserve">15. Органами управления Агентства являются Совет директоров и исполнительный орган Агентства (правление).</w:t>
      </w:r>
    </w:p>
    <w:p>
      <w:pPr>
        <w:spacing w:after="60"/>
        <w:ind w:firstLine="567"/>
        <w:jc w:val="both"/>
      </w:pPr>
      <w:r>
        <w:rPr>
          <w:rFonts w:ascii="Arial" w:cs="Arial" w:eastAsia="Arial" w:hAnsi="Arial"/>
          <w:sz w:val="24"/>
          <w:szCs w:val="24"/>
        </w:rPr>
        <w:t xml:space="preserve">16. Совет директоров Агентства (далее - Совет директоров) является высшим органом управления Агентства, состоящим из семи членов:</w:t>
      </w:r>
    </w:p>
    <w:p>
      <w:pPr>
        <w:spacing w:after="60"/>
        <w:ind w:firstLine="567"/>
        <w:jc w:val="both"/>
      </w:pPr>
      <w:r>
        <w:rPr>
          <w:rFonts w:ascii="Arial" w:cs="Arial" w:eastAsia="Arial" w:hAnsi="Arial"/>
          <w:sz w:val="24"/>
          <w:szCs w:val="24"/>
        </w:rPr>
        <w:t xml:space="preserve">1) трех представителей Кабинета Министров, в том числе одного представителя Министерства экономики и коммерции Кыргызской Республики и двух - Министерства финансов Кыргызской Республики (на уровне члена коллегии), назначаемых Председателем Кабинета Министров;</w:t>
      </w:r>
    </w:p>
    <w:p>
      <w:pPr>
        <w:spacing w:after="60"/>
        <w:ind w:firstLine="567"/>
        <w:jc w:val="both"/>
      </w:pPr>
      <w:r>
        <w:rPr>
          <w:rFonts w:ascii="Arial" w:cs="Arial" w:eastAsia="Arial" w:hAnsi="Arial"/>
          <w:sz w:val="24"/>
          <w:szCs w:val="24"/>
        </w:rPr>
        <w:t xml:space="preserve">2) трех представителей Национального банка (не ниже уровня члена правления Национального банка), назначаемых правлением Национального банка;</w:t>
      </w:r>
    </w:p>
    <w:p>
      <w:pPr>
        <w:spacing w:after="60"/>
        <w:ind w:firstLine="567"/>
        <w:jc w:val="both"/>
      </w:pPr>
      <w:r>
        <w:rPr>
          <w:rFonts w:ascii="Arial" w:cs="Arial" w:eastAsia="Arial" w:hAnsi="Arial"/>
          <w:sz w:val="24"/>
          <w:szCs w:val="24"/>
        </w:rPr>
        <w:t xml:space="preserve">3) независимого эксперта в области банковского дела, назначаемого совместным решением Кабинета Министров и Национального банка.</w:t>
      </w:r>
    </w:p>
    <w:p>
      <w:pPr>
        <w:spacing w:after="60"/>
        <w:ind w:firstLine="567"/>
        <w:jc w:val="both"/>
      </w:pPr>
      <w:r>
        <w:rPr>
          <w:rFonts w:ascii="Arial" w:cs="Arial" w:eastAsia="Arial" w:hAnsi="Arial"/>
          <w:sz w:val="24"/>
          <w:szCs w:val="24"/>
        </w:rPr>
        <w:t xml:space="preserve">17. Члены Совета директоров осуществляют свою деятельность на безвозмездной основе, за исключением независимого члена Совета директоров. Оплата труда независимого члена Совета директоров определяется решением Совета директоров.</w:t>
      </w:r>
    </w:p>
    <w:p>
      <w:pPr>
        <w:spacing w:after="60"/>
        <w:ind w:firstLine="567"/>
        <w:jc w:val="both"/>
      </w:pPr>
      <w:r>
        <w:rPr>
          <w:rFonts w:ascii="Arial" w:cs="Arial" w:eastAsia="Arial" w:hAnsi="Arial"/>
          <w:sz w:val="24"/>
          <w:szCs w:val="24"/>
        </w:rPr>
        <w:t xml:space="preserve">18. Члены Совета директоров назначаются сроком на 5 лет. Члены Совета директоров могут назначаться на должность не более 2 сроков подряд.</w:t>
      </w:r>
    </w:p>
    <w:p>
      <w:pPr>
        <w:spacing w:after="60"/>
        <w:ind w:firstLine="567"/>
        <w:jc w:val="both"/>
      </w:pPr>
      <w:r>
        <w:rPr>
          <w:rFonts w:ascii="Arial" w:cs="Arial" w:eastAsia="Arial" w:hAnsi="Arial"/>
          <w:sz w:val="24"/>
          <w:szCs w:val="24"/>
        </w:rPr>
        <w:t xml:space="preserve">19.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60"/>
        <w:ind w:firstLine="567"/>
        <w:jc w:val="both"/>
      </w:pPr>
      <w:r>
        <w:rPr>
          <w:rFonts w:ascii="Arial" w:cs="Arial" w:eastAsia="Arial" w:hAnsi="Arial"/>
          <w:sz w:val="24"/>
          <w:szCs w:val="24"/>
        </w:rPr>
        <w:t xml:space="preserve">20.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60"/>
        <w:ind w:firstLine="567"/>
        <w:jc w:val="both"/>
      </w:pPr>
      <w:r>
        <w:rPr>
          <w:rFonts w:ascii="Arial" w:cs="Arial" w:eastAsia="Arial" w:hAnsi="Arial"/>
          <w:sz w:val="24"/>
          <w:szCs w:val="24"/>
        </w:rPr>
        <w:t xml:space="preserve">21. К исключительной компетенции Совета директоров Агентства относятся:</w:t>
      </w:r>
    </w:p>
    <w:p>
      <w:pPr>
        <w:spacing w:after="60"/>
        <w:ind w:firstLine="567"/>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60"/>
        <w:ind w:firstLine="567"/>
        <w:jc w:val="both"/>
      </w:pPr>
      <w:r>
        <w:rPr>
          <w:rFonts w:ascii="Arial" w:cs="Arial" w:eastAsia="Arial" w:hAnsi="Arial"/>
          <w:sz w:val="24"/>
          <w:szCs w:val="24"/>
        </w:rPr>
        <w:t xml:space="preserve">2) одобрение проектов нормативных правовых актов, необходимых для выполнения положений </w:t>
      </w:r>
      <w:hyperlink w:history="1" r:id="rId4oiludysjy6zaguvfhjk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и представление их на утверждение Кабинету Министров;</w:t>
      </w:r>
    </w:p>
    <w:p>
      <w:pPr>
        <w:spacing w:after="60"/>
        <w:ind w:firstLine="567"/>
        <w:jc w:val="both"/>
      </w:pPr>
      <w:r>
        <w:rPr>
          <w:rFonts w:ascii="Arial" w:cs="Arial" w:eastAsia="Arial" w:hAnsi="Arial"/>
          <w:sz w:val="24"/>
          <w:szCs w:val="24"/>
        </w:rPr>
        <w:t xml:space="preserve">3) утверждение организационной структуры Агентства;</w:t>
      </w:r>
    </w:p>
    <w:p>
      <w:pPr>
        <w:spacing w:after="60"/>
        <w:ind w:firstLine="567"/>
        <w:jc w:val="both"/>
      </w:pPr>
      <w:r>
        <w:rPr>
          <w:rFonts w:ascii="Arial" w:cs="Arial" w:eastAsia="Arial" w:hAnsi="Arial"/>
          <w:sz w:val="24"/>
          <w:szCs w:val="24"/>
        </w:rPr>
        <w:t xml:space="preserve">4) утверждение регламента исполнительного органа (правления);</w:t>
      </w:r>
    </w:p>
    <w:p>
      <w:pPr>
        <w:spacing w:after="60"/>
        <w:ind w:firstLine="567"/>
        <w:jc w:val="both"/>
      </w:pPr>
      <w:r>
        <w:rPr>
          <w:rFonts w:ascii="Arial" w:cs="Arial" w:eastAsia="Arial" w:hAnsi="Arial"/>
          <w:sz w:val="24"/>
          <w:szCs w:val="24"/>
        </w:rPr>
        <w:t xml:space="preserve">5) одобрение кандидатов на назначение/освобождение руководителей службы внутреннего аудита/внутреннего аудитора, службы риск-менеджмента/риск-менеджера, корпоративного секретаря Агентства, заслушивание их отчетов;</w:t>
      </w:r>
    </w:p>
    <w:p>
      <w:pPr>
        <w:spacing w:after="60"/>
        <w:ind w:firstLine="567"/>
        <w:jc w:val="both"/>
      </w:pPr>
      <w:r>
        <w:rPr>
          <w:rFonts w:ascii="Arial" w:cs="Arial" w:eastAsia="Arial" w:hAnsi="Arial"/>
          <w:sz w:val="24"/>
          <w:szCs w:val="24"/>
        </w:rPr>
        <w:t xml:space="preserve">6) установление дополнительных требований по повышению квалификации членов исполнительного органа (правления);</w:t>
      </w:r>
    </w:p>
    <w:p>
      <w:pPr>
        <w:spacing w:after="60"/>
        <w:ind w:firstLine="567"/>
        <w:jc w:val="both"/>
      </w:pPr>
      <w:r>
        <w:rPr>
          <w:rFonts w:ascii="Arial" w:cs="Arial" w:eastAsia="Arial" w:hAnsi="Arial"/>
          <w:sz w:val="24"/>
          <w:szCs w:val="24"/>
        </w:rPr>
        <w:t xml:space="preserve">7)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60"/>
        <w:ind w:firstLine="567"/>
        <w:jc w:val="both"/>
      </w:pPr>
      <w:r>
        <w:rPr>
          <w:rFonts w:ascii="Arial" w:cs="Arial" w:eastAsia="Arial" w:hAnsi="Arial"/>
          <w:sz w:val="24"/>
          <w:szCs w:val="24"/>
        </w:rPr>
        <w:t xml:space="preserve">8)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60"/>
        <w:ind w:firstLine="567"/>
        <w:jc w:val="both"/>
      </w:pPr>
      <w:r>
        <w:rPr>
          <w:rFonts w:ascii="Arial" w:cs="Arial" w:eastAsia="Arial" w:hAnsi="Arial"/>
          <w:sz w:val="24"/>
          <w:szCs w:val="24"/>
        </w:rPr>
        <w:t xml:space="preserve">9) утверждение бюджета Агентства и отчета о его исполнении;</w:t>
      </w:r>
    </w:p>
    <w:p>
      <w:pPr>
        <w:spacing w:after="60"/>
        <w:ind w:firstLine="567"/>
        <w:jc w:val="both"/>
      </w:pPr>
      <w:r>
        <w:rPr>
          <w:rFonts w:ascii="Arial" w:cs="Arial" w:eastAsia="Arial" w:hAnsi="Arial"/>
          <w:sz w:val="24"/>
          <w:szCs w:val="24"/>
        </w:rPr>
        <w:t xml:space="preserve">10) утверждение годового отчета Агентства;</w:t>
      </w:r>
    </w:p>
    <w:p>
      <w:pPr>
        <w:spacing w:after="60"/>
        <w:ind w:firstLine="567"/>
        <w:jc w:val="both"/>
      </w:pPr>
      <w:r>
        <w:rPr>
          <w:rFonts w:ascii="Arial" w:cs="Arial" w:eastAsia="Arial" w:hAnsi="Arial"/>
          <w:sz w:val="24"/>
          <w:szCs w:val="24"/>
        </w:rPr>
        <w:t xml:space="preserve">11) ежегодное заслушивание отчета исполнительного директора Агентства;</w:t>
      </w:r>
    </w:p>
    <w:p>
      <w:pPr>
        <w:spacing w:after="60"/>
        <w:ind w:firstLine="567"/>
        <w:jc w:val="both"/>
      </w:pPr>
      <w:r>
        <w:rPr>
          <w:rFonts w:ascii="Arial" w:cs="Arial" w:eastAsia="Arial" w:hAnsi="Arial"/>
          <w:sz w:val="24"/>
          <w:szCs w:val="24"/>
        </w:rPr>
        <w:t xml:space="preserve">12) утверждение комплексной политики Агентства по конфликту интересов;</w:t>
      </w:r>
    </w:p>
    <w:p>
      <w:pPr>
        <w:spacing w:after="60"/>
        <w:ind w:firstLine="567"/>
        <w:jc w:val="both"/>
      </w:pPr>
      <w:r>
        <w:rPr>
          <w:rFonts w:ascii="Arial" w:cs="Arial" w:eastAsia="Arial" w:hAnsi="Arial"/>
          <w:sz w:val="24"/>
          <w:szCs w:val="24"/>
        </w:rPr>
        <w:t xml:space="preserve">13) ежегодное определение независимой аудиторской организации для проведения внешнего аудита, получение результатов проведенного аудита Агентства в порядке, установленном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14) дача согласия на заимствование Агентством средств для покрытия обязательств согласно требованиям </w:t>
      </w:r>
      <w:hyperlink w:history="1" r:id="rIdj0qnnhzlk5ih_zu7rgnw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15) утверждение программы Агентства по повышению осведомленности общественности о системе защиты депозитов;</w:t>
      </w:r>
    </w:p>
    <w:p>
      <w:pPr>
        <w:spacing w:after="60"/>
        <w:ind w:firstLine="567"/>
        <w:jc w:val="both"/>
      </w:pPr>
      <w:r>
        <w:rPr>
          <w:rFonts w:ascii="Arial" w:cs="Arial" w:eastAsia="Arial" w:hAnsi="Arial"/>
          <w:sz w:val="24"/>
          <w:szCs w:val="24"/>
        </w:rPr>
        <w:t xml:space="preserve">16) утверждение стратегического плана развития Агентства и системы защиты депозитов;</w:t>
      </w:r>
    </w:p>
    <w:p>
      <w:pPr>
        <w:spacing w:after="60"/>
        <w:ind w:firstLine="567"/>
        <w:jc w:val="both"/>
      </w:pPr>
      <w:r>
        <w:rPr>
          <w:rFonts w:ascii="Arial" w:cs="Arial" w:eastAsia="Arial" w:hAnsi="Arial"/>
          <w:sz w:val="24"/>
          <w:szCs w:val="24"/>
        </w:rPr>
        <w:t xml:space="preserve">17) осуществление иных полномочий, предусмотренных </w:t>
      </w:r>
      <w:hyperlink w:history="1" r:id="rId_a2cluu7ll7retvrdg8o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22. Совет директоров проводит заседания в соответствии с утвержденным на своем заседании регламентом. Кворум на заседании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60"/>
        <w:ind w:firstLine="567"/>
        <w:jc w:val="both"/>
      </w:pPr>
      <w:r>
        <w:rPr>
          <w:rFonts w:ascii="Arial" w:cs="Arial" w:eastAsia="Arial" w:hAnsi="Arial"/>
          <w:sz w:val="24"/>
          <w:szCs w:val="24"/>
        </w:rPr>
        <w:t xml:space="preserve">23.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60"/>
        <w:ind w:firstLine="567"/>
        <w:jc w:val="both"/>
      </w:pPr>
      <w:r>
        <w:rPr>
          <w:rFonts w:ascii="Arial" w:cs="Arial" w:eastAsia="Arial" w:hAnsi="Arial"/>
          <w:sz w:val="24"/>
          <w:szCs w:val="24"/>
        </w:rPr>
        <w:t xml:space="preserve">Члены Совета директоров не могут делегировать свои полномочия.</w:t>
      </w:r>
    </w:p>
    <w:p>
      <w:pPr>
        <w:spacing w:after="60"/>
        <w:ind w:firstLine="567"/>
        <w:jc w:val="both"/>
      </w:pPr>
      <w:r>
        <w:rPr>
          <w:rFonts w:ascii="Arial" w:cs="Arial" w:eastAsia="Arial" w:hAnsi="Arial"/>
          <w:sz w:val="24"/>
          <w:szCs w:val="24"/>
        </w:rPr>
        <w:t xml:space="preserve">24.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Решения Совета директоров принимаются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60"/>
        <w:ind w:firstLine="567"/>
        <w:jc w:val="both"/>
      </w:pPr>
      <w:r>
        <w:rPr>
          <w:rFonts w:ascii="Arial" w:cs="Arial" w:eastAsia="Arial" w:hAnsi="Arial"/>
          <w:sz w:val="24"/>
          <w:szCs w:val="24"/>
        </w:rPr>
        <w:t xml:space="preserve">25. Решения и протоколы Совета директоров хранятся постоянно.</w:t>
      </w:r>
    </w:p>
    <w:p>
      <w:pPr>
        <w:spacing w:after="60"/>
        <w:ind w:firstLine="567"/>
        <w:jc w:val="both"/>
      </w:pPr>
      <w:r>
        <w:rPr>
          <w:rFonts w:ascii="Arial" w:cs="Arial" w:eastAsia="Arial" w:hAnsi="Arial"/>
          <w:sz w:val="24"/>
          <w:szCs w:val="24"/>
        </w:rPr>
        <w:t xml:space="preserve">26. Руководство Агентством осуществляется исполнительным органом (правлением).</w:t>
      </w:r>
    </w:p>
    <w:p>
      <w:pPr>
        <w:spacing w:after="60"/>
        <w:ind w:firstLine="567"/>
        <w:jc w:val="both"/>
      </w:pPr>
      <w:r>
        <w:rPr>
          <w:rFonts w:ascii="Arial" w:cs="Arial" w:eastAsia="Arial" w:hAnsi="Arial"/>
          <w:sz w:val="24"/>
          <w:szCs w:val="24"/>
        </w:rPr>
        <w:t xml:space="preserve">Порядок работы исполнительного органа (правления) осуществляется в соответствии с регламентом исполнительного органа (правления), утверждаемым Советом директоров.</w:t>
      </w:r>
    </w:p>
    <w:p>
      <w:pPr>
        <w:spacing w:after="60"/>
        <w:ind w:firstLine="567"/>
        <w:jc w:val="both"/>
      </w:pPr>
      <w:r>
        <w:rPr>
          <w:rFonts w:ascii="Arial" w:cs="Arial" w:eastAsia="Arial" w:hAnsi="Arial"/>
          <w:sz w:val="24"/>
          <w:szCs w:val="24"/>
        </w:rPr>
        <w:t xml:space="preserve">Исполнительным органом (правлением) Агентства руководит исполнительный директор Агентства.</w:t>
      </w:r>
    </w:p>
    <w:p>
      <w:pPr>
        <w:spacing w:after="60"/>
        <w:ind w:firstLine="567"/>
        <w:jc w:val="both"/>
      </w:pPr>
      <w:r>
        <w:rPr>
          <w:rFonts w:ascii="Arial" w:cs="Arial" w:eastAsia="Arial" w:hAnsi="Arial"/>
          <w:sz w:val="24"/>
          <w:szCs w:val="24"/>
        </w:rPr>
        <w:t xml:space="preserve">27. Исполнительный директор Агентства:</w:t>
      </w:r>
    </w:p>
    <w:p>
      <w:pPr>
        <w:spacing w:after="60"/>
        <w:ind w:firstLine="567"/>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60"/>
        <w:ind w:firstLine="567"/>
        <w:jc w:val="both"/>
      </w:pPr>
      <w:r>
        <w:rPr>
          <w:rFonts w:ascii="Arial" w:cs="Arial" w:eastAsia="Arial" w:hAnsi="Arial"/>
          <w:sz w:val="24"/>
          <w:szCs w:val="24"/>
        </w:rPr>
        <w:t xml:space="preserve">2) отвечает за текущую деятельность Агентства;</w:t>
      </w:r>
    </w:p>
    <w:p>
      <w:pPr>
        <w:spacing w:after="60"/>
        <w:ind w:firstLine="567"/>
        <w:jc w:val="both"/>
      </w:pPr>
      <w:r>
        <w:rPr>
          <w:rFonts w:ascii="Arial" w:cs="Arial" w:eastAsia="Arial" w:hAnsi="Arial"/>
          <w:sz w:val="24"/>
          <w:szCs w:val="24"/>
        </w:rPr>
        <w:t xml:space="preserve">3) издает приказы и распоряжения по вопросам деятельности Агентства,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определяет условия приема на работу, систему оплаты труда, служебные обязанности и права, систему поощрений и дисциплинарных взысканий для работников Агентства;</w:t>
      </w:r>
    </w:p>
    <w:p>
      <w:pPr>
        <w:spacing w:after="60"/>
        <w:ind w:firstLine="567"/>
        <w:jc w:val="both"/>
      </w:pPr>
      <w:r>
        <w:rPr>
          <w:rFonts w:ascii="Arial" w:cs="Arial" w:eastAsia="Arial" w:hAnsi="Arial"/>
          <w:sz w:val="24"/>
          <w:szCs w:val="24"/>
        </w:rPr>
        <w:t xml:space="preserve">5) заключает договоры с физическими и юридическими лицами,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6) выступает от имени Агентства и представляет интересы Агентства во всех судебных органах,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60"/>
        <w:ind w:firstLine="567"/>
        <w:jc w:val="both"/>
      </w:pPr>
      <w:r>
        <w:rPr>
          <w:rFonts w:ascii="Arial" w:cs="Arial" w:eastAsia="Arial" w:hAnsi="Arial"/>
          <w:sz w:val="24"/>
          <w:szCs w:val="24"/>
        </w:rPr>
        <w:t xml:space="preserve">7) вносит на рассмотрение Совета директоров кандидатуры заместителей исполнительного директора для представления на назначение на должность и/или освобождение от должности;</w:t>
      </w:r>
    </w:p>
    <w:p>
      <w:pPr>
        <w:spacing w:after="60"/>
        <w:ind w:firstLine="567"/>
        <w:jc w:val="both"/>
      </w:pPr>
      <w:r>
        <w:rPr>
          <w:rFonts w:ascii="Arial" w:cs="Arial" w:eastAsia="Arial" w:hAnsi="Arial"/>
          <w:sz w:val="24"/>
          <w:szCs w:val="24"/>
        </w:rPr>
        <w:t xml:space="preserve">8) участвует в заседании Совета директоров и представляет на рассмотрение Совета директоров соответствующие вопросы, входящие в его компетенцию;</w:t>
      </w:r>
    </w:p>
    <w:p>
      <w:pPr>
        <w:spacing w:after="60"/>
        <w:ind w:firstLine="567"/>
        <w:jc w:val="both"/>
      </w:pPr>
      <w:r>
        <w:rPr>
          <w:rFonts w:ascii="Arial" w:cs="Arial" w:eastAsia="Arial" w:hAnsi="Arial"/>
          <w:sz w:val="24"/>
          <w:szCs w:val="24"/>
        </w:rPr>
        <w:t xml:space="preserve">9)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60"/>
        <w:ind w:firstLine="567"/>
        <w:jc w:val="both"/>
      </w:pPr>
      <w:r>
        <w:rPr>
          <w:rFonts w:ascii="Arial" w:cs="Arial" w:eastAsia="Arial" w:hAnsi="Arial"/>
          <w:sz w:val="24"/>
          <w:szCs w:val="24"/>
        </w:rPr>
        <w:t xml:space="preserve">10) осуществляет другие функции, полномочия и права, необходимые для обеспечения эффективной деятельности Агентства.</w:t>
      </w:r>
    </w:p>
    <w:p>
      <w:pPr>
        <w:spacing w:after="60"/>
        <w:ind w:firstLine="567"/>
        <w:jc w:val="both"/>
      </w:pPr>
      <w:r>
        <w:rPr>
          <w:rFonts w:ascii="Arial" w:cs="Arial" w:eastAsia="Arial" w:hAnsi="Arial"/>
          <w:sz w:val="24"/>
          <w:szCs w:val="24"/>
        </w:rPr>
        <w:t xml:space="preserve">28. Исполнительный директор Агентства и два его заместителя назначаются Президентом Кыргызской Республики по представлению Совета директоров Агентства. Исполнительный директор и его заместители назначаются сроком на пять лет. Исполнительный директор и его заместители могут быть назначены на должность не более двух сроков.</w:t>
      </w:r>
    </w:p>
    <w:p>
      <w:pPr>
        <w:spacing w:after="60"/>
        <w:ind w:firstLine="567"/>
        <w:jc w:val="both"/>
      </w:pPr>
      <w:r>
        <w:rPr>
          <w:rFonts w:ascii="Arial" w:cs="Arial" w:eastAsia="Arial" w:hAnsi="Arial"/>
          <w:sz w:val="24"/>
          <w:szCs w:val="24"/>
        </w:rPr>
        <w:t xml:space="preserve">29. Исполнительный директор и его заместители освобождаются от должности в следующих случаях:</w:t>
      </w:r>
    </w:p>
    <w:p>
      <w:pPr>
        <w:spacing w:after="60"/>
        <w:ind w:firstLine="567"/>
        <w:jc w:val="both"/>
      </w:pPr>
      <w:r>
        <w:rPr>
          <w:rFonts w:ascii="Arial" w:cs="Arial" w:eastAsia="Arial" w:hAnsi="Arial"/>
          <w:sz w:val="24"/>
          <w:szCs w:val="24"/>
        </w:rPr>
        <w:t xml:space="preserve">1) по личному заявлению;</w:t>
      </w:r>
    </w:p>
    <w:p>
      <w:pPr>
        <w:spacing w:after="60"/>
        <w:ind w:firstLine="56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60"/>
        <w:ind w:firstLine="56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60"/>
        <w:ind w:firstLine="567"/>
        <w:jc w:val="both"/>
      </w:pPr>
      <w:r>
        <w:rPr>
          <w:rFonts w:ascii="Arial" w:cs="Arial" w:eastAsia="Arial" w:hAnsi="Arial"/>
          <w:sz w:val="24"/>
          <w:szCs w:val="24"/>
        </w:rPr>
        <w:t xml:space="preserve">4) утраты гражданства Кыргызской Республики;</w:t>
      </w:r>
    </w:p>
    <w:p>
      <w:pPr>
        <w:spacing w:after="60"/>
        <w:ind w:firstLine="567"/>
        <w:jc w:val="both"/>
      </w:pPr>
      <w:r>
        <w:rPr>
          <w:rFonts w:ascii="Arial" w:cs="Arial" w:eastAsia="Arial" w:hAnsi="Arial"/>
          <w:sz w:val="24"/>
          <w:szCs w:val="24"/>
        </w:rPr>
        <w:t xml:space="preserve">5) при несоответствии и невыполнении (нарушении) требований, предусмотренных статьями </w:t>
      </w:r>
      <w:hyperlink w:history="1" r:id="rIdvufd26duwxrw1usax90vd">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whqiho4nab2yievk3-ejk">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w:t>
      </w:r>
    </w:p>
    <w:p>
      <w:pPr>
        <w:spacing w:after="60"/>
        <w:ind w:firstLine="567"/>
        <w:jc w:val="both"/>
      </w:pPr>
      <w:r>
        <w:rPr>
          <w:rFonts w:ascii="Arial" w:cs="Arial" w:eastAsia="Arial" w:hAnsi="Arial"/>
          <w:sz w:val="24"/>
          <w:szCs w:val="24"/>
        </w:rPr>
        <w:t xml:space="preserve">30. В случае отсутствия исполнительного директора его обязанности на основании приказа возлагаются на одного из его заместителей.</w:t>
      </w:r>
    </w:p>
    <w:p>
      <w:pPr>
        <w:spacing w:after="200" w:before="200"/>
        <w:jc w:val="center"/>
      </w:pPr>
      <w:r>
        <w:rPr>
          <w:rFonts w:ascii="Arial" w:cs="Arial" w:eastAsia="Arial" w:hAnsi="Arial"/>
          <w:b/>
          <w:bCs/>
          <w:sz w:val="32"/>
          <w:szCs w:val="32"/>
        </w:rPr>
        <w:t xml:space="preserve">Глава 6. Организация деятельности Агентства</w:t>
      </w:r>
    </w:p>
    <w:p>
      <w:pPr>
        <w:spacing w:after="60"/>
        <w:ind w:firstLine="567"/>
        <w:jc w:val="both"/>
      </w:pPr>
      <w:r>
        <w:rPr>
          <w:rFonts w:ascii="Arial" w:cs="Arial" w:eastAsia="Arial" w:hAnsi="Arial"/>
          <w:sz w:val="24"/>
          <w:szCs w:val="24"/>
        </w:rPr>
        <w:t xml:space="preserve">31. Операционные расходы и прочие затраты на содержание Агентства, связанные с выполнением задач, возложенных на него, на каждый финансовый год покрываются за счет:</w:t>
      </w:r>
    </w:p>
    <w:p>
      <w:pPr>
        <w:spacing w:after="60"/>
        <w:ind w:firstLine="567"/>
        <w:jc w:val="both"/>
      </w:pPr>
      <w:r>
        <w:rPr>
          <w:rFonts w:ascii="Arial" w:cs="Arial" w:eastAsia="Arial" w:hAnsi="Arial"/>
          <w:sz w:val="24"/>
          <w:szCs w:val="24"/>
        </w:rPr>
        <w:t xml:space="preserve">1) не более 2 процентов в год от общей суммы накопленных средств Фонда и компенсационных выплат, подлежащих возврату в Фонд, рассчитываемых на начало года;</w:t>
      </w:r>
    </w:p>
    <w:p>
      <w:pPr>
        <w:spacing w:after="60"/>
        <w:ind w:firstLine="567"/>
        <w:jc w:val="both"/>
      </w:pPr>
      <w:r>
        <w:rPr>
          <w:rFonts w:ascii="Arial" w:cs="Arial" w:eastAsia="Arial" w:hAnsi="Arial"/>
          <w:sz w:val="24"/>
          <w:szCs w:val="24"/>
        </w:rPr>
        <w:t xml:space="preserve">2) не более 25 процентов от дохода, полученного от размещения свободных средств Фонда;</w:t>
      </w:r>
    </w:p>
    <w:p>
      <w:pPr>
        <w:spacing w:after="60"/>
        <w:ind w:firstLine="567"/>
        <w:jc w:val="both"/>
      </w:pPr>
      <w:r>
        <w:rPr>
          <w:rFonts w:ascii="Arial" w:cs="Arial" w:eastAsia="Arial" w:hAnsi="Arial"/>
          <w:sz w:val="24"/>
          <w:szCs w:val="24"/>
        </w:rPr>
        <w:t xml:space="preserve">3) не более 1 процента в год от общей суммы накопленных средств Фонда и компенсационных выплат, подлежащих возврату в Фонд, рассчитываемых на начало года после достижения размера Фонда защиты депозитов 15000000000 (пятнадцати миллиардов) сомов;</w:t>
      </w:r>
    </w:p>
    <w:p>
      <w:pPr>
        <w:spacing w:after="60"/>
        <w:ind w:firstLine="567"/>
        <w:jc w:val="both"/>
      </w:pPr>
      <w:r>
        <w:rPr>
          <w:rFonts w:ascii="Arial" w:cs="Arial" w:eastAsia="Arial" w:hAnsi="Arial"/>
          <w:sz w:val="24"/>
          <w:szCs w:val="24"/>
        </w:rPr>
        <w:t xml:space="preserve">4) вознаграждения ликвидатору банков или иной финансово-кредитной организации в соответствии с </w:t>
      </w:r>
      <w:hyperlink w:history="1" r:id="rId9qh6vikqia7voibenwu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5) комиссионного вознаграждения от возврата долгов по агентским услугам и иных средств,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32. Агентство ведет учет и отчетность в соответствии с международными стандартами финансовой отчетности и в соответствующей форме и периодичностью публикует их в средствах массовой информации и представляет по первому требованию любого лица.</w:t>
      </w:r>
    </w:p>
    <w:p>
      <w:pPr>
        <w:spacing w:after="60"/>
        <w:ind w:firstLine="567"/>
        <w:jc w:val="both"/>
      </w:pPr>
      <w:r>
        <w:rPr>
          <w:rFonts w:ascii="Arial" w:cs="Arial" w:eastAsia="Arial" w:hAnsi="Arial"/>
          <w:sz w:val="24"/>
          <w:szCs w:val="24"/>
        </w:rPr>
        <w:t xml:space="preserve">33. Внутренний контроль за финансово-хозяйственной деятельностью Агентства осуществляется службой внутреннего аудита Агентства.</w:t>
      </w:r>
    </w:p>
    <w:p>
      <w:pPr>
        <w:spacing w:after="60"/>
        <w:ind w:firstLine="567"/>
        <w:jc w:val="both"/>
      </w:pPr>
      <w:r>
        <w:rPr>
          <w:rFonts w:ascii="Arial" w:cs="Arial" w:eastAsia="Arial" w:hAnsi="Arial"/>
          <w:sz w:val="24"/>
          <w:szCs w:val="24"/>
        </w:rPr>
        <w:t xml:space="preserve">34. Годовой отчет Агентства утверждается Советом директоров.</w:t>
      </w:r>
    </w:p>
    <w:p>
      <w:pPr>
        <w:spacing w:after="60"/>
        <w:ind w:firstLine="567"/>
        <w:jc w:val="both"/>
      </w:pPr>
      <w:r>
        <w:rPr>
          <w:rFonts w:ascii="Arial" w:cs="Arial" w:eastAsia="Arial" w:hAnsi="Arial"/>
          <w:sz w:val="24"/>
          <w:szCs w:val="24"/>
        </w:rPr>
        <w:t xml:space="preserve">35. Для проведения внешнего аудита Агентства Совет директоров Агентства в срок не позднее 6 месяцев до окончания финансового года в порядке, установленном законодательством Кыргызской Республики о государственных закупках, определяет независимую аудиторскую организацию.</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3xbomqb6g3lqkxkboga">
      <w:r>
        <w:rPr>
          <w:rFonts w:ascii="Arial" w:cs="Arial" w:eastAsia="Arial" w:hAnsi="Arial"/>
          <w:color w:val="132D3F"/>
          <w:sz w:val="16"/>
          <w:szCs w:val="16"/>
          <w:u w:val="single"/>
        </w:rPr>
        <w:t xml:space="preserve">dalil.kg/document/230002905</w:t>
      </w:r>
    </w:hyperlink>
  </w:p>
  <w:p>
    <w:pPr>
      <w:spacing w:after="0" w:before="40"/>
      <w:jc w:val="center"/>
    </w:pPr>
    <w:hyperlink w:history="1" r:id="rIdscyvwnndimlw9x8j1v4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ro1hzbjql4xnedpumye" Type="http://schemas.openxmlformats.org/officeDocument/2006/relationships/hyperlink" Target="https://dalil.kg/document/230003404" TargetMode="External"/><Relationship Id="rId4q-aei92xhtmibjlzolcd" Type="http://schemas.openxmlformats.org/officeDocument/2006/relationships/hyperlink" Target="https://dalil.kg/document/112213" TargetMode="External"/><Relationship Id="rIdzxkxfyy_bsv83tbtrbgis" Type="http://schemas.openxmlformats.org/officeDocument/2006/relationships/hyperlink" Target="https://dalil.kg/document/202289" TargetMode="External"/><Relationship Id="rIdtse_xgjszmdcmli6jr3c4" Type="http://schemas.openxmlformats.org/officeDocument/2006/relationships/hyperlink" Target="https://dalil.kg/document/202289" TargetMode="External"/><Relationship Id="rIdwdy4iuhuc0ucrtoeuqqmf" Type="http://schemas.openxmlformats.org/officeDocument/2006/relationships/hyperlink" Target="https://dalil.kg/document/202289" TargetMode="External"/><Relationship Id="rIdexpptuh7rq8fz_mb3ucvt" Type="http://schemas.openxmlformats.org/officeDocument/2006/relationships/hyperlink" Target="https://dalil.kg/document/202289" TargetMode="External"/><Relationship Id="rId6enewj6xkj1kfaqu1wed4" Type="http://schemas.openxmlformats.org/officeDocument/2006/relationships/hyperlink" Target="https://dalil.kg/document/112428" TargetMode="External"/><Relationship Id="rIderi4eo5lw-tc25m_ln0eu" Type="http://schemas.openxmlformats.org/officeDocument/2006/relationships/hyperlink" Target="https://dalil.kg/document/202289" TargetMode="External"/><Relationship Id="rIdm8ns2cgcmdebafew8edod" Type="http://schemas.openxmlformats.org/officeDocument/2006/relationships/hyperlink" Target="https://dalil.kg/document/202289" TargetMode="External"/><Relationship Id="rId29rbechrzvb08r2-jlfyn" Type="http://schemas.openxmlformats.org/officeDocument/2006/relationships/hyperlink" Target="https://dalil.kg/document/112428" TargetMode="External"/><Relationship Id="rIdrl7m_bwmaw1ubeygwf6bv" Type="http://schemas.openxmlformats.org/officeDocument/2006/relationships/hyperlink" Target="https://dalil.kg/document/202289" TargetMode="External"/><Relationship Id="rIdmn-zylivfgmxccohfr040" Type="http://schemas.openxmlformats.org/officeDocument/2006/relationships/hyperlink" Target="https://dalil.kg/document/202289" TargetMode="External"/><Relationship Id="rIdab2uaq-k0kste4lp__rth" Type="http://schemas.openxmlformats.org/officeDocument/2006/relationships/hyperlink" Target="https://dalil.kg/document/202289" TargetMode="External"/><Relationship Id="rId1uvfxjd4p5_h08f3jyoas" Type="http://schemas.openxmlformats.org/officeDocument/2006/relationships/hyperlink" Target="https://dalil.kg/document/112428" TargetMode="External"/><Relationship Id="rIdzbzs8ngecd9kmfygsjigz" Type="http://schemas.openxmlformats.org/officeDocument/2006/relationships/hyperlink" Target="https://dalil.kg/document/112428" TargetMode="External"/><Relationship Id="rId_miu_jo_nb2knhbyrrlis" Type="http://schemas.openxmlformats.org/officeDocument/2006/relationships/hyperlink" Target="https://dalil.kg/document/112428" TargetMode="External"/><Relationship Id="rIdrn0in6kdh53uyozgu7gpa" Type="http://schemas.openxmlformats.org/officeDocument/2006/relationships/hyperlink" Target="https://dalil.kg/document/112428" TargetMode="External"/><Relationship Id="rIdn5lvf3cqbqjq5n2pu31zn" Type="http://schemas.openxmlformats.org/officeDocument/2006/relationships/hyperlink" Target="https://dalil.kg/document/202289" TargetMode="External"/><Relationship Id="rIddcmdredrpy24jrkvalyl_" Type="http://schemas.openxmlformats.org/officeDocument/2006/relationships/hyperlink" Target="https://dalil.kg/document/202289" TargetMode="External"/><Relationship Id="rId4oiludysjy6zaguvfhjkw" Type="http://schemas.openxmlformats.org/officeDocument/2006/relationships/hyperlink" Target="https://dalil.kg/document/202289" TargetMode="External"/><Relationship Id="rIdj0qnnhzlk5ih_zu7rgnw4" Type="http://schemas.openxmlformats.org/officeDocument/2006/relationships/hyperlink" Target="https://dalil.kg/document/202289" TargetMode="External"/><Relationship Id="rId_a2cluu7ll7retvrdg8oo" Type="http://schemas.openxmlformats.org/officeDocument/2006/relationships/hyperlink" Target="https://dalil.kg/document/202289" TargetMode="External"/><Relationship Id="rIdvufd26duwxrw1usax90vd" Type="http://schemas.openxmlformats.org/officeDocument/2006/relationships/hyperlink" Target="https://dalil.kg/document/202289#st_18" TargetMode="External"/><Relationship Id="rIdwhqiho4nab2yievk3-ejk" Type="http://schemas.openxmlformats.org/officeDocument/2006/relationships/hyperlink" Target="https://dalil.kg/document/202289#st_19" TargetMode="External"/><Relationship Id="rId9qh6vikqia7voibenwuxa"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3xbomqb6g3lqkxkboga" Type="http://schemas.openxmlformats.org/officeDocument/2006/relationships/hyperlink" Target="https://dalil.kg/document/230002905" TargetMode="External"/><Relationship Id="rIdscyvwnndimlw9x8j1v4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2026-09-26T17:27:11.066Z</dcterms:created>
  <dcterms:modified xsi:type="dcterms:W3CDTF">2026-09-26T17:27:11.066Z</dcterms:modified>
</cp:coreProperties>
</file>

<file path=docProps/custom.xml><?xml version="1.0" encoding="utf-8"?>
<Properties xmlns="http://schemas.openxmlformats.org/officeDocument/2006/custom-properties" xmlns:vt="http://schemas.openxmlformats.org/officeDocument/2006/docPropsVTypes"/>
</file>