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и поддержки отечественных производителей,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, частью 13 </w:t>
      </w:r>
      <w:r>
        <w:rPr>
          <w:rFonts w:ascii="Arial" w:cs="Arial" w:eastAsia="Arial" w:hAnsi="Arial"/>
          <w:sz w:val="24"/>
          <w:szCs w:val="24"/>
        </w:rPr>
        <w:t xml:space="preserve">статьи 423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9m9-_9ebbh4n6l_b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строкой пятнадцатой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6"/>
        <w:gridCol w:w="8642"/>
      </w:tblGrid>
      <w:tr>
        <w:tc>
          <w:tcPr>
            <w:tcW w:type="dxa" w:w="1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2301 10 000 0</w:t>
            </w:r>
          </w:p>
        </w:tc>
        <w:tc>
          <w:tcPr>
            <w:tcW w:type="dxa" w:w="8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 мясных субпродуктов; шкварки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3yysqo0pfi6kviskl8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требования к регистрации в качестве участников информационной системы электронных счетов-фактур и оформлению счета-фактуры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осуществляющих предпринимательскую деятельность с применением ККМ, применяющих нулевую ставку по упрощенной системе налогообложения на основе единого налога, объем выручки которых за последние 12 месяцев, следующих подряд, не превысил сумму 15000000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уплачивающих налог на основе патента и реализующих товары, работы и услуги физическим лицам, не являющимся индивидуальными предпринимателями, для личного и/или семейного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производителей, реализующих собственную сельскохозяйственную продукцию.";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87ckgbf0nivljefqp1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kat58blbvyv8kd8tpoi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"61-1. Налогоплательщиком, уплачивающим налоги по общему налоговому режиму: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оформляется счет-фактура в свой адрес для получения права на зачет по приобретенным материальным ресурсам, предусмотренным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315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случае приобретения у иностранной организации или индивидуального предпринимателя работ или услуг, местом поставки которых признается территория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оформляется счет-фактура на приобретение у сельскохозяйственного производителя его сельскохозяйственной продукции.".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w3fhkcgpslwq5d1ne3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субъекту"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"1 апреля" заменить словами "1 июля";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"1 апреля 2024 года" заменить словами "1 января 2025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7,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оказание услуг по перевозке пассажиров легковым транспортом (услуги такси) и по доставке товаров курьерами с использованием информационной системы службы такси и курьерской службы, применяемой для заказа перевозки пассажиров и грузов, при условии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услуги по перевозке грузов ручной тележкой, объявлению по радио на рынках и в других местах массового скопления людей, установке телевизионных антенн, стирке белья в домашних условиях, убою скота, заготовке шкур и шерсти домашнего скота, расчесу ваты и щипанию шерсти животных;";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"осуществляемые на основе патента,"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после слов "выносных прилавков," дополнить словами "палаток, юрт,";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реализация товаров налогоплательщиком налога на деятельность в зонах торговли с особым режимом;";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27-35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реализация продуктов ремесленной деятельности (народно-художественного промысла) собственного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изготовление и ремонт ключей и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изготовление искусственных цветов и траурных венков;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услуги лечебного массажа, оказываемые лицом с инвалидностью 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услуги по ремонту: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телевизоров, радиоприемников, видеокамер, магнитофонов, CD, DVD;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холодильников, микроволновых плит, стиральных и гладильных машин, кондиционеров и прочих бытовых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обуви и прочих изделий из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услуги по ремонту и заточке режущих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услуги по ремонту и реставрации мебели;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услуги платных туалетов;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реализация товаров, оказание услуг или выполнение работ с использованием торговой платформы в соответствии с законодательством Кыргызской Республики в сфере электронной торговли, при условии обязательной интеграции такой торговой платформы с информационной системой уполномоченного налогового органа в порядке, определяемом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2-1 слова "в подпунктах 5-10,19-22" заменить словами "в подпунктах 5, 6, 8-10, 22, 27-34";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пункта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882"/>
        <w:gridCol w:w="6927"/>
        <w:gridCol w:w="1029"/>
        <w:gridCol w:w="1029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сооружений), за исключением точек, реализующих алкогольную продукцию и табачные изделия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 и табачных изделий, в киосках, павильонах, контейнерах, вагончиках, палатках, юртах, ларьках, выносных прилавках и временных железных конструкциях с площадью торгового зала до 30 (тридцать) кв. метров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4, 6 слова "До 1 января 2024 года" заменить словами "До 1 июля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"до 1 апреля 2023 года" заменить словами "до 1 июля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Субъекты, осуществляющие расчеты с населением исключительно в безналичной форме с применением инструментов дистанционных форм оплаты, QR-платежей, POS-терминалов, платежных терминалов, идентифицированных электронных кошельков и иных периферийных устройств, а также любых мобильных приложений, предоставляемых платежной системой, через которые предоставляется возможность для субъектов принимать безналичные платежи в свою пользу, имеют право не применять ККМ при торговых операциях или выполнении работ и оказании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Требованиях</w:t>
      </w:r>
      <w:r>
        <w:rPr>
          <w:rFonts w:ascii="Arial" w:cs="Arial" w:eastAsia="Arial" w:hAnsi="Arial"/>
          <w:sz w:val="24"/>
          <w:szCs w:val="24"/>
        </w:rPr>
        <w:t xml:space="preserve"> к центрам технического обслуживания контрольно-кассовых машин, утвержденных вышеуказанным </w:t>
      </w:r>
      <w:hyperlink w:history="1" r:id="rIdrvjqwpsxlcx13r1q9p5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2 слова "организация, оказывающая" заменить словами "организация или индивидуальный предприниматель, оказывающие".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pdxejirqgiok-qjcr5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t64ohjcek9nyen0c_u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газомоторного топлива - компримированного природного газа в Кыргызской Республике на 2022-2026 годы" от 25 ноября 2022 года № 660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qnfrnzdomqbqgbkbuqg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газомоторного топлива - компримированного природного газа в Кыргызской Республике на 2022-2026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1.2.6, 1.2.7 пункта 1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dkvzle2pl5yxy9ec2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требованиях к функционированию рынков и мини-рынков Кыргызской Республики" от 4 сентября 2023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требованиях к функционированию рынков и мини-рынков Кыргызской Республики, утвержденном вышеуказанным </w:t>
      </w:r>
      <w:hyperlink w:history="1" r:id="rIdjtn18zkpci2r3nnphy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12 слово "постановлением" заменить словом "решением";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5-7, 30, 31 слова "уполномоченный налоговый орган", "Уполномоченный налоговый орган" в различных падежах и числах заменить соответственно словами "орган налоговой службы", "Орган налоговой службы"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наличие обустроенных служебных помещений с отоплением и кондиционером для сотрудников органа налоговой службы, производящих налоговый контроль на территории рынков, с доступом к камерам видеонаблюдения и интернету;";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На реализуемые товары субъект торговой деятельности обязан иметь электронные счета-фактуры и электронные товаротранспортные накладные.";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 торговой деятельности, осуществляющий деятельность на рынках, включенных в Реестр, обязан иметь электронные счета-фактуры и электронные товаротранспортные накладные на все реализуемые товары.";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24,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случае несоблюдения условий субъектами торговой деятельности, предусмотренных настоящими требованиями, по письменному требованию органа налоговой службы дирекция рынка в течение 10 рабочих дней в одностороннем порядке расторгает договор аренды с субъектом торговой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Субъект торговой деятельности должен обеспечить беспрепятственный доступ сотрудникам органа налоговой службы во все помещения, используемые для осуществления торговой деятельности, в целях проверки его деятельности и обеспечения устранения выявленных недостатков.".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qcu5r8d7nhkn2zq9v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dalil.kg/document/230003201</w:t>
      </w:r>
    </w:hyperlink>
  </w:p>
  <w:p>
    <w:pPr>
      <w:spacing w:after="0" w:before="40"/>
      <w:jc w:val="center"/>
    </w:pPr>
    <w:hyperlink w:history="1" r:id="rIdu09xc5j7hxrspmtez0f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9m9-_9ebbh4n6l_buia" Type="http://schemas.openxmlformats.org/officeDocument/2006/relationships/hyperlink" Target="https://dalil.kg/document/159091" TargetMode="External"/><Relationship Id="rId53yysqo0pfi6kviskl8qw" Type="http://schemas.openxmlformats.org/officeDocument/2006/relationships/hyperlink" Target="https://dalil.kg/document/159138" TargetMode="External"/><Relationship Id="rIdb87ckgbf0nivljefqp10z" Type="http://schemas.openxmlformats.org/officeDocument/2006/relationships/hyperlink" Target="https://dalil.kg/document/159212" TargetMode="External"/><Relationship Id="rIdkat58blbvyv8kd8tpoihy" Type="http://schemas.openxmlformats.org/officeDocument/2006/relationships/hyperlink" Target="https://dalil.kg/document/159138" TargetMode="External"/><Relationship Id="rId3w3fhkcgpslwq5d1ne3q5" Type="http://schemas.openxmlformats.org/officeDocument/2006/relationships/hyperlink" Target="https://dalil.kg/document/159080" TargetMode="External"/><Relationship Id="rIdrvjqwpsxlcx13r1q9p5ki" Type="http://schemas.openxmlformats.org/officeDocument/2006/relationships/hyperlink" Target="https://dalil.kg/document/159080" TargetMode="External"/><Relationship Id="rIddpdxejirqgiok-qjcr5t9" Type="http://schemas.openxmlformats.org/officeDocument/2006/relationships/hyperlink" Target="https://dalil.kg/document/159592" TargetMode="External"/><Relationship Id="rIdt64ohjcek9nyen0c_ucqr" Type="http://schemas.openxmlformats.org/officeDocument/2006/relationships/hyperlink" Target="https://dalil.kg/document/159603" TargetMode="External"/><Relationship Id="rIdqnfrnzdomqbqgbkbuqg9p" Type="http://schemas.openxmlformats.org/officeDocument/2006/relationships/hyperlink" Target="https://dalil.kg/document/159603" TargetMode="External"/><Relationship Id="rIdwdkvzle2pl5yxy9ec2dnm" Type="http://schemas.openxmlformats.org/officeDocument/2006/relationships/hyperlink" Target="https://dalil.kg/document/160388" TargetMode="External"/><Relationship Id="rIdjtn18zkpci2r3nnphygdo" Type="http://schemas.openxmlformats.org/officeDocument/2006/relationships/hyperlink" Target="https://dalil.kg/document/1603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qcu5r8d7nhkn2zq9vil" Type="http://schemas.openxmlformats.org/officeDocument/2006/relationships/hyperlink" Target="https://dalil.kg/document/230003201" TargetMode="External"/><Relationship Id="rIdu09xc5j7hxrspmtez0f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2026-09-25T19:46:17.792Z</dcterms:created>
  <dcterms:modified xsi:type="dcterms:W3CDTF">2026-09-25T19:46:17.792Z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