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апреля 2024 года № 148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решения Правительства Кыргызской Республики в сфере возобновляемых источников энергии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введению новых генерирующих энергетических мощностей, руководствуясь статьями </w:t>
      </w:r>
      <w:hyperlink w:history="1" r:id="rId0ptsdghahniculfaqvq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-6ikvbpompcsk7gn47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Республики",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wfgkg6ftgfcooempnhyq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ty31wvfpi1xg6ggkfpvt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фондом" от 10 апреля 2018 года № 192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dxotxr0ctdsqyysaqj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Порядке</w:t>
        </w:r>
      </w:hyperlink>
      <w:r>
        <w:rPr>
          <w:rFonts w:ascii="Arial" w:cs="Arial" w:eastAsia="Arial" w:hAnsi="Arial"/>
          <w:sz w:val="24"/>
          <w:szCs w:val="24"/>
        </w:rPr>
        <w:t xml:space="preserve"> пользования и распоряжения государственным лесным фондом, утвержденном вышеуказанным </w:t>
      </w:r>
      <w:hyperlink w:history="1" r:id="rId8grlafbl5wvprfpvhkm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дополнить подпунктами 12-14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"12) отсутствия проектной документации, согласованной с уполномоченным государственным органом в сфере архитектуры и строительства, у субъектов возобновляемых источников энергии (далее - ВИЭ) в течение 3-х месяцев после получения земель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отсутствия у субъектов ВИЭ технико-экономического обоснования и подтвержденного источника финансирования в течение 6 месяцев после получения земель лесного фонда;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неосуществления строительных работ субъектами ВИЭ в течение 1 года после получения земель лесного фонда.";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"32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прекращения права пользования землями государственного лесного фонда по основаниям, предусмотренным в подпунктах 12-14 пункта 32 настоящего Порядка, земли государственного лесного фонда подлежат передаче в ведение уполномоченного учреждения в сфере ВИЭ в установленном законодательством порядке.".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sjvifinhzxk5gnnww1h9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lj8jztb7kcd1u79y-h5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собственности" от 9 октября 2019 года № 535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7tohyzhe0v63qnqangws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земельных участков, находящихся в государственной собственности, утвержденном вышеуказанным </w:t>
      </w:r>
      <w:hyperlink w:history="1" r:id="rIdtdrqgc1rmtxmzsdb7wbp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"6. Земельные участки, находящиеся в государственной собственности, могут быть предоставлены на условиях договора аренды на срок до: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трех лет - земельные участки, находящиеся в пользовании государственных землепользователей: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установки объектов облегченного типа;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других целей, не связанных с капитальным строительством;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существующих сооружений железнодорожного пути, находящихся в частной собственности;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объектов дорожного и придорожного сервиса, находящихся на землях полосы отвода и придорожной полосы автомобильных дорог общего пользования;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осуществления торговой деятельности на земельных участках, предоставляемых дирекцией торгового рынка (торгового предприятия);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пятнадцати лет - земельные участки, находящиеся в пользовании государственных землепользователей: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проектирования, строительства зданий, сооружений, направленных на развитие железнодорожной отрасли, и их эксплуатации;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для проектирования, строительства зданий, сооружений с последующей передачей построенного капитального строительства на баланс государственного землепользователя по истечении срока договора аренды;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двадцати пяти лет - земельные участки, находящиеся в пользовании государственных землепользователей, для строительства энергетических установок с использованием ВИЭ;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сорока девяти лет: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свободные от прав третьих лиц;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предоставляемые в рамках реализации соглашений о государственно-частном партнерстве, в том числе для капитального строительства;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 свободных экономических зон;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земельные участки, передаваемые путем прямого предоставления в случаях, предусмотренных подпунктом 2 пункта 55-10 настоящего Положения.";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84 дополнить абзацами седьмым-девятым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отсутствия проектной документации, согласованной с уполномоченным государственным органом в сфере архитектуры и строительства, у субъектов ВИЭ в течение 3-х месяцев после получения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у субъектов ВИЭ предварительного технико-экономического обоснования и подтвержденного источника финансирования в течение 6 месяцев после получения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неосуществления строительных работ субъектами ВИЭ в течение 1 года после получения земельного участка.";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пунктом 84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"84</w:t>
      </w: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. В случае прекращения договора аренды по основаниям, предусмотренным в абзацах седьмом-девятом пункта 84 настоящего Положения, земельные участки подлежат передаче в ведение уполномоченного органа в сфере ВИЭ в установленном законом порядке.";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exrhszbgbnx3hdza3pp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3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13 дополнить абзацами седьмым-девятым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случае отсутствия проектной документации, согласованной с уполномоченным государственным органом в сфере архитектуры и строительства, у субъектов ВИЭ в течение 3-х месяцев после получения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отсутствия у субъектов ВИЭ предварительного технико-экономического обоснования и подтвержденного источника финансирования в течение 6 месяцев после получения земельного участка;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неосуществления строительных работ субъектами ВИЭ в течение 1 года после получения земельного участка.".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поправки, предусмотренные настоящим постановлением, не распространяются на земельные участки, в отношении которых подписаны инвестиционные соглашения и соглашения о государственно-частном партнерстве.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Уполномоченному государственному органу по выработке и реализации государственной политики в области топливно-энергетического комплекса совместно с заинтересованными государственными органами, уполномоченным учреждением в сфере ВИЭ, районными государственными администрациями и органами местного самоуправления (по согласованию) принять меры, вытекающие из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ptsdghahniculfaqvqel" Type="http://schemas.openxmlformats.org/officeDocument/2006/relationships/hyperlink" Target="http://kodeks.duckdns.org/document/112301#st_13" TargetMode="External"/><Relationship Id="rIdq-6ikvbpompcsk7gn47py" Type="http://schemas.openxmlformats.org/officeDocument/2006/relationships/hyperlink" Target="http://kodeks.duckdns.org/document/112301#st_17" TargetMode="External"/><Relationship Id="rIdwfgkg6ftgfcooempnhyqq" Type="http://schemas.openxmlformats.org/officeDocument/2006/relationships/hyperlink" Target="http://kodeks.duckdns.org/document/11731" TargetMode="External"/><Relationship Id="rIdty31wvfpi1xg6ggkfpvt0" Type="http://schemas.openxmlformats.org/officeDocument/2006/relationships/hyperlink" Target="http://kodeks.duckdns.org/document/11731#pr" TargetMode="External"/><Relationship Id="rIdtdxotxr0ctdsqyysaqjqs" Type="http://schemas.openxmlformats.org/officeDocument/2006/relationships/hyperlink" Target="http://kodeks.duckdns.org/document/11731#pr" TargetMode="External"/><Relationship Id="rId8grlafbl5wvprfpvhkmd4" Type="http://schemas.openxmlformats.org/officeDocument/2006/relationships/hyperlink" Target="http://kodeks.duckdns.org/document/11731" TargetMode="External"/><Relationship Id="rIdsjvifinhzxk5gnnww1h9r" Type="http://schemas.openxmlformats.org/officeDocument/2006/relationships/hyperlink" Target="http://kodeks.duckdns.org/document/157146" TargetMode="External"/><Relationship Id="rIdlj8jztb7kcd1u79y-h5l-" Type="http://schemas.openxmlformats.org/officeDocument/2006/relationships/hyperlink" Target="http://kodeks.duckdns.org/document/157147" TargetMode="External"/><Relationship Id="rId7tohyzhe0v63qnqangwsc" Type="http://schemas.openxmlformats.org/officeDocument/2006/relationships/hyperlink" Target="http://kodeks.duckdns.org/document/157147" TargetMode="External"/><Relationship Id="rIdtdrqgc1rmtxmzsdb7wbpf" Type="http://schemas.openxmlformats.org/officeDocument/2006/relationships/hyperlink" Target="http://kodeks.duckdns.org/document/157146" TargetMode="External"/><Relationship Id="rIddexrhszbgbnx3hdza3pps" Type="http://schemas.openxmlformats.org/officeDocument/2006/relationships/hyperlink" Target="http://kodeks.duckdns.org/document/157147#pr3" TargetMode="External"/><Relationship Id="rId7" Type="http://schemas.openxmlformats.org/officeDocument/2006/relationships/image" Target="media/93bec1c1538034512fe33c1434ae0ea86b639d33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2026-09-23T11:05:14.338Z</dcterms:created>
  <dcterms:modified xsi:type="dcterms:W3CDTF">2026-09-23T11:05:14.338Z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