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15 марта 2024 года № 118</w:t>
      </w:r>
    </w:p>
    <w:p>
      <w:pPr>
        <w:spacing w:after="240" w:before="2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по вопросам маркировки</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требований статей </w:t>
      </w:r>
      <w:hyperlink w:history="1" r:id="rIdypucejncwhpiploidv_bb">
        <w:r>
          <w:rPr>
            <w:rFonts w:ascii="Arial" w:cs="Arial" w:eastAsia="Arial" w:hAnsi="Arial"/>
            <w:color w:val="1D4ED8"/>
            <w:sz w:val="24"/>
            <w:szCs w:val="24"/>
            <w:u w:val="single"/>
          </w:rPr>
          <w:t xml:space="preserve">336</w:t>
        </w:r>
      </w:hyperlink>
      <w:r>
        <w:rPr>
          <w:rFonts w:ascii="Arial" w:cs="Arial" w:eastAsia="Arial" w:hAnsi="Arial"/>
          <w:sz w:val="24"/>
          <w:szCs w:val="24"/>
        </w:rPr>
        <w:t xml:space="preserve">, </w:t>
      </w:r>
      <w:hyperlink w:history="1" r:id="rIdykxrmow4a-wxlot2pzx26">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if5pchxtuhra-umbcflk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1j84ojhoif9hsrx_psf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ieqmr0r9xzoq-7juag3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проведении пилотного (экспериментального) проекта по цифровому администрированию акцизного налога" от 31 декабря 2021 года № 359 следующее изменение:</w:t>
      </w:r>
    </w:p>
    <w:p>
      <w:pPr>
        <w:spacing w:after="60"/>
        <w:ind w:firstLine="567"/>
        <w:jc w:val="both"/>
      </w:pPr>
      <w:r>
        <w:rPr>
          <w:rFonts w:ascii="Arial" w:cs="Arial" w:eastAsia="Arial" w:hAnsi="Arial"/>
          <w:sz w:val="24"/>
          <w:szCs w:val="24"/>
        </w:rPr>
        <w:t xml:space="preserve">- в абзаце первом пункта 1 слова "2023 года" заменить словами "2024 года".</w:t>
      </w:r>
    </w:p>
    <w:p>
      <w:pPr>
        <w:spacing w:after="60"/>
        <w:ind w:firstLine="567"/>
        <w:jc w:val="both"/>
      </w:pPr>
      <w:r>
        <w:rPr>
          <w:rFonts w:ascii="Arial" w:cs="Arial" w:eastAsia="Arial" w:hAnsi="Arial"/>
          <w:sz w:val="24"/>
          <w:szCs w:val="24"/>
        </w:rPr>
        <w:t xml:space="preserve">2. Внести в </w:t>
      </w:r>
      <w:hyperlink w:history="1" r:id="rIdai6x7wpdoawmyfkmeqj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gtya77wsauna_ri4seazu">
        <w:r>
          <w:rPr>
            <w:rFonts w:ascii="Arial" w:cs="Arial" w:eastAsia="Arial" w:hAnsi="Arial"/>
            <w:color w:val="1D4ED8"/>
            <w:sz w:val="24"/>
            <w:szCs w:val="24"/>
            <w:u w:val="single"/>
          </w:rPr>
          <w:t xml:space="preserve">336</w:t>
        </w:r>
      </w:hyperlink>
      <w:r>
        <w:rPr>
          <w:rFonts w:ascii="Arial" w:cs="Arial" w:eastAsia="Arial" w:hAnsi="Arial"/>
          <w:sz w:val="24"/>
          <w:szCs w:val="24"/>
        </w:rPr>
        <w:t xml:space="preserve"> и </w:t>
      </w:r>
      <w:hyperlink w:history="1" r:id="rIdiaymxsf2hty7nctkyxnou">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от 22 февраля 2022 года № 94 следующие изменения:</w:t>
      </w:r>
    </w:p>
    <w:p>
      <w:pPr>
        <w:spacing w:after="60"/>
        <w:ind w:firstLine="567"/>
        <w:jc w:val="both"/>
      </w:pPr>
      <w:r>
        <w:rPr>
          <w:rFonts w:ascii="Arial" w:cs="Arial" w:eastAsia="Arial" w:hAnsi="Arial"/>
          <w:sz w:val="24"/>
          <w:szCs w:val="24"/>
        </w:rPr>
        <w:t xml:space="preserve">1) пункт 3 изложить в следующей редакции:</w:t>
      </w:r>
    </w:p>
    <w:p>
      <w:pPr>
        <w:spacing w:after="60"/>
        <w:ind w:firstLine="567"/>
        <w:jc w:val="both"/>
      </w:pPr>
      <w:r>
        <w:rPr>
          <w:rFonts w:ascii="Arial" w:cs="Arial" w:eastAsia="Arial" w:hAnsi="Arial"/>
          <w:sz w:val="24"/>
          <w:szCs w:val="24"/>
        </w:rPr>
        <w:t xml:space="preserve">"3. Установить, что маркировке маркой акцизного сбора подлежат:</w:t>
      </w:r>
    </w:p>
    <w:p>
      <w:pPr>
        <w:spacing w:after="60"/>
        <w:ind w:firstLine="567"/>
        <w:jc w:val="both"/>
      </w:pPr>
      <w:r>
        <w:rPr>
          <w:rFonts w:ascii="Arial" w:cs="Arial" w:eastAsia="Arial" w:hAnsi="Arial"/>
          <w:sz w:val="24"/>
          <w:szCs w:val="24"/>
        </w:rPr>
        <w:t xml:space="preserve">- с 1 января 2023 года пиво, расфасованное и нефасованное, классифицируемое в товарной позиции ТН ВЭД 2203, и табачные изделия, указанные в пунктах 6-8 части 1 </w:t>
      </w:r>
      <w:hyperlink w:history="1" r:id="rId1opir5evcihll6kucb4mo">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 с 1 апреля 2024 года воды, включая минеральные и газированные, содержащие добавки сахара или других подслащивающих или вкусо-ароматических веществ, классифицируемые в товарной позиции ТН ВЭД 2202;</w:t>
      </w:r>
    </w:p>
    <w:p>
      <w:pPr>
        <w:spacing w:after="60"/>
        <w:ind w:firstLine="567"/>
        <w:jc w:val="both"/>
      </w:pPr>
      <w:r>
        <w:rPr>
          <w:rFonts w:ascii="Arial" w:cs="Arial" w:eastAsia="Arial" w:hAnsi="Arial"/>
          <w:sz w:val="24"/>
          <w:szCs w:val="24"/>
        </w:rPr>
        <w:t xml:space="preserve">- с 1 января 2027 года национальные напитки (бозо, максым и жарма) в соответствии с КМС 891:2003 "Напиток "Бозо" Технические условия" и КМС 980:2021 "Напитки национальные "Максым" и "Жарма" Технические условия" и детское питание в соответствии с техническим регламентом Таможенного союза "О безопасности пищевой продукции" (ТР ТС 021/2011) (при наличии соответствующего свидетельства о государственной регистрации), классифицируемые в товарной позиции ТН ВЭД 2202.</w:t>
      </w:r>
    </w:p>
    <w:p>
      <w:pPr>
        <w:spacing w:after="60"/>
        <w:ind w:firstLine="567"/>
        <w:jc w:val="both"/>
      </w:pPr>
      <w:r>
        <w:rPr>
          <w:rFonts w:ascii="Arial" w:cs="Arial" w:eastAsia="Arial" w:hAnsi="Arial"/>
          <w:sz w:val="24"/>
          <w:szCs w:val="24"/>
        </w:rPr>
        <w:t xml:space="preserve">Оборот остатков немаркированных подакцизных товаров, указанных в настоящем пункте, запрещается по истечении 6 месяцев с даты введения маркировки, за исключением вод, включая минеральные и газированные, содержащие добавки сахара или других подслащивающих или вкусо-ароматических веществ, классифицируемых в товарной позиции ТН ВЭД 2202, срок запрета на оборот по которым устанавливается с 1 января 2025 года.";</w:t>
      </w:r>
    </w:p>
    <w:p>
      <w:pPr>
        <w:spacing w:after="60"/>
        <w:ind w:firstLine="567"/>
        <w:jc w:val="both"/>
      </w:pPr>
      <w:r>
        <w:rPr>
          <w:rFonts w:ascii="Arial" w:cs="Arial" w:eastAsia="Arial" w:hAnsi="Arial"/>
          <w:sz w:val="24"/>
          <w:szCs w:val="24"/>
        </w:rPr>
        <w:t xml:space="preserve">2) в абзаце третьем пункта 4 слова "2024 года" заменить словами "2026 года";</w:t>
      </w:r>
    </w:p>
    <w:p>
      <w:pPr>
        <w:spacing w:after="60"/>
        <w:ind w:firstLine="567"/>
        <w:jc w:val="both"/>
      </w:pPr>
      <w:r>
        <w:rPr>
          <w:rFonts w:ascii="Arial" w:cs="Arial" w:eastAsia="Arial" w:hAnsi="Arial"/>
          <w:sz w:val="24"/>
          <w:szCs w:val="24"/>
        </w:rPr>
        <w:t xml:space="preserve">3) в </w:t>
      </w:r>
      <w:hyperlink w:history="1" r:id="rId52wtwyc7n7yzabtetiek2">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выдачи и применения марок акцизного сбора в Кыргызской Республике, утвержденном вышеуказанным </w:t>
      </w:r>
      <w:hyperlink w:history="1" r:id="rIdx6zwxah7pbahck_qvmsm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предложение второе пункта 7 изложить в следующей редакции: "Место наклейки должно определяться так, чтобы акцизная марка разрывалась во время раскупорки (раскрытия) бутылки, пачки или иной тары, за исключением бутылки или иной тары для воды, включая минеральные и газированные, содержащие добавки сахара или других подслащивающих или вкусо-ароматических веществ, классифицируемой в товарной позиции ТН ВЭД 2202.";</w:t>
      </w:r>
    </w:p>
    <w:p>
      <w:pPr>
        <w:spacing w:after="60"/>
        <w:ind w:firstLine="567"/>
        <w:jc w:val="both"/>
      </w:pPr>
      <w:r>
        <w:rPr>
          <w:rFonts w:ascii="Arial" w:cs="Arial" w:eastAsia="Arial" w:hAnsi="Arial"/>
          <w:sz w:val="24"/>
          <w:szCs w:val="24"/>
        </w:rPr>
        <w:t xml:space="preserve">- дополнить пунктом 7-1 следующего содержания:</w:t>
      </w:r>
    </w:p>
    <w:p>
      <w:pPr>
        <w:spacing w:after="60"/>
        <w:ind w:firstLine="567"/>
        <w:jc w:val="both"/>
      </w:pPr>
      <w:r>
        <w:rPr>
          <w:rFonts w:ascii="Arial" w:cs="Arial" w:eastAsia="Arial" w:hAnsi="Arial"/>
          <w:sz w:val="24"/>
          <w:szCs w:val="24"/>
        </w:rPr>
        <w:t xml:space="preserve">"7-1. Маркировка вод, включая минеральные и газированные, содержащие добавки сахара или других подслащивающих или вкусо-ароматических веществ, классифицируемых в товарной позиции ТН ВЭД 2202, осуществляется на крышку или место, предназначенное для открытия продукции. На продукцию, классифицируемую в товарной позиции ТН ВЭД 2202, разлитую в алюминиевую банку или тетрапак, предназначенные для одноразового использования, маркировка допускается на любую более плоскую часть поверхности тары.";</w:t>
      </w:r>
    </w:p>
    <w:p>
      <w:pPr>
        <w:spacing w:after="60"/>
        <w:ind w:firstLine="567"/>
        <w:jc w:val="both"/>
      </w:pPr>
      <w:r>
        <w:rPr>
          <w:rFonts w:ascii="Arial" w:cs="Arial" w:eastAsia="Arial" w:hAnsi="Arial"/>
          <w:sz w:val="24"/>
          <w:szCs w:val="24"/>
        </w:rPr>
        <w:t xml:space="preserve">- дополнить пунктом 10-3 следующего содержания:</w:t>
      </w:r>
    </w:p>
    <w:p>
      <w:pPr>
        <w:spacing w:after="60"/>
        <w:ind w:firstLine="567"/>
        <w:jc w:val="both"/>
      </w:pPr>
      <w:r>
        <w:rPr>
          <w:rFonts w:ascii="Arial" w:cs="Arial" w:eastAsia="Arial" w:hAnsi="Arial"/>
          <w:sz w:val="24"/>
          <w:szCs w:val="24"/>
        </w:rPr>
        <w:t xml:space="preserve">"10-3. У потребительских упаковок, указанных в пунктах 10-1 и 10-2 настоящего Положения, должна отсутствовать возможность вскрытия упаковки без разрыва акцизной марки. В случае наличия у потребительской упаковки возможности вскрытия через немаркированные крышки данные крышки должны быть запечатаны таким образом, чтобы не допускать вскрытия без повреждения самой потребительской упаковки, за исключением безалкогольных напитков, разлитых в алюминиевую банку и тетрапак.";</w:t>
      </w:r>
    </w:p>
    <w:p>
      <w:pPr>
        <w:spacing w:after="60"/>
        <w:ind w:firstLine="567"/>
        <w:jc w:val="both"/>
      </w:pPr>
      <w:r>
        <w:rPr>
          <w:rFonts w:ascii="Arial" w:cs="Arial" w:eastAsia="Arial" w:hAnsi="Arial"/>
          <w:sz w:val="24"/>
          <w:szCs w:val="24"/>
        </w:rPr>
        <w:t xml:space="preserve">- абзац первый пункта 12 изложить в следующей редакции:</w:t>
      </w:r>
    </w:p>
    <w:p>
      <w:pPr>
        <w:spacing w:after="60"/>
        <w:ind w:firstLine="567"/>
        <w:jc w:val="both"/>
      </w:pPr>
      <w:r>
        <w:rPr>
          <w:rFonts w:ascii="Arial" w:cs="Arial" w:eastAsia="Arial" w:hAnsi="Arial"/>
          <w:sz w:val="24"/>
          <w:szCs w:val="24"/>
        </w:rPr>
        <w:t xml:space="preserve">"12. Акцизные марки изготавливаются по заказу уполномоченного налогового органа согласно договору (контракту), заключенному с поставщиком в соответствии с законодательством Кыргызской Республики в сфере государственных закупок. Форма и образцы акцизных марок разрабатываются уполномоченным налоговым органом совместно с поставщиком. Форма и образцы акцизных марок утверждаются уполномоченным налоговым органом.";</w:t>
      </w:r>
    </w:p>
    <w:p>
      <w:pPr>
        <w:spacing w:after="60"/>
        <w:ind w:firstLine="567"/>
        <w:jc w:val="both"/>
      </w:pPr>
      <w:r>
        <w:rPr>
          <w:rFonts w:ascii="Arial" w:cs="Arial" w:eastAsia="Arial" w:hAnsi="Arial"/>
          <w:sz w:val="24"/>
          <w:szCs w:val="24"/>
        </w:rPr>
        <w:t xml:space="preserve">- пункты 19-21 изложить в следующей редакции:</w:t>
      </w:r>
    </w:p>
    <w:p>
      <w:pPr>
        <w:spacing w:after="60"/>
        <w:ind w:firstLine="567"/>
        <w:jc w:val="both"/>
      </w:pPr>
      <w:r>
        <w:rPr>
          <w:rFonts w:ascii="Arial" w:cs="Arial" w:eastAsia="Arial" w:hAnsi="Arial"/>
          <w:sz w:val="24"/>
          <w:szCs w:val="24"/>
        </w:rPr>
        <w:t xml:space="preserve">"19.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60"/>
        <w:ind w:firstLine="567"/>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60"/>
        <w:ind w:firstLine="567"/>
        <w:jc w:val="both"/>
      </w:pPr>
      <w:r>
        <w:rPr>
          <w:rFonts w:ascii="Arial" w:cs="Arial" w:eastAsia="Arial" w:hAnsi="Arial"/>
          <w:sz w:val="24"/>
          <w:szCs w:val="24"/>
        </w:rPr>
        <w:t xml:space="preserve">- заявление-расчет (в 2 экземплярах согласно </w:t>
      </w:r>
      <w:hyperlink w:history="1" r:id="rIdjyngeop0chgcv6dq4gp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К заявлению-расчету налогоплательщика прилагается спецификация подакцизных изделий согласно </w:t>
      </w:r>
      <w:hyperlink w:history="1" r:id="rId1yrf0rsvgc91ncn7ft6s_">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60"/>
        <w:ind w:firstLine="567"/>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или банковской гарантии и уплату номинальной стоимости акцизных марок на все количество маркируемой продукции. Копия платежного документа или оригинал банковской гарантии остается в органе налоговой службы, оригиналы платежных документов возвращаются налогоплательщику.</w:t>
      </w:r>
    </w:p>
    <w:p>
      <w:pPr>
        <w:spacing w:after="60"/>
        <w:ind w:firstLine="567"/>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60"/>
        <w:ind w:firstLine="567"/>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единожды при первоначальной подаче заявки по данному Договору на период его действия. Копия договора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60"/>
        <w:ind w:firstLine="56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Евразийского экономического союза,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акцизных марок.</w:t>
      </w:r>
    </w:p>
    <w:p>
      <w:pPr>
        <w:spacing w:after="60"/>
        <w:ind w:firstLine="567"/>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60"/>
        <w:ind w:firstLine="56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60"/>
        <w:ind w:firstLine="567"/>
        <w:jc w:val="both"/>
      </w:pPr>
      <w:r>
        <w:rPr>
          <w:rFonts w:ascii="Arial" w:cs="Arial" w:eastAsia="Arial" w:hAnsi="Arial"/>
          <w:sz w:val="24"/>
          <w:szCs w:val="24"/>
        </w:rPr>
        <w:t xml:space="preserve">Органы налоговой службы осуществляют учет и контроль за исполнением производителями и импортерами обязательств по уплате акцизного налога по ранее предоставленной банковской гарантии.</w:t>
      </w:r>
    </w:p>
    <w:p>
      <w:pPr>
        <w:spacing w:after="60"/>
        <w:ind w:firstLine="567"/>
        <w:jc w:val="both"/>
      </w:pPr>
      <w:r>
        <w:rPr>
          <w:rFonts w:ascii="Arial" w:cs="Arial" w:eastAsia="Arial" w:hAnsi="Arial"/>
          <w:sz w:val="24"/>
          <w:szCs w:val="24"/>
        </w:rPr>
        <w:t xml:space="preserve">Органы налоговой службы ведут учет предоставленных банковских гарантий.</w:t>
      </w:r>
    </w:p>
    <w:p>
      <w:pPr>
        <w:spacing w:after="60"/>
        <w:ind w:firstLine="567"/>
        <w:jc w:val="both"/>
      </w:pPr>
      <w:r>
        <w:rPr>
          <w:rFonts w:ascii="Arial" w:cs="Arial" w:eastAsia="Arial" w:hAnsi="Arial"/>
          <w:sz w:val="24"/>
          <w:szCs w:val="24"/>
        </w:rPr>
        <w:t xml:space="preserve">В случае неуплаты акцизного налога налогоплательщиком в установленные сроки органы налоговой службы обязаны проконтролировать исполнение банковской гарантии.</w:t>
      </w:r>
    </w:p>
    <w:p>
      <w:pPr>
        <w:spacing w:after="60"/>
        <w:ind w:firstLine="567"/>
        <w:jc w:val="both"/>
      </w:pPr>
      <w:r>
        <w:rPr>
          <w:rFonts w:ascii="Arial" w:cs="Arial" w:eastAsia="Arial" w:hAnsi="Arial"/>
          <w:sz w:val="24"/>
          <w:szCs w:val="24"/>
        </w:rPr>
        <w:t xml:space="preserve">20. Решение об отправке акцизных марок на зарубежный завод-производитель маркируемой продукции составляется в 2 экземплярах: первый экземпляр решения органа налоговой службы остается в органе налоговой службы, второй - у налогоплательщика.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завод-производитель маркируемой продукции.</w:t>
      </w:r>
    </w:p>
    <w:p>
      <w:pPr>
        <w:spacing w:after="60"/>
        <w:ind w:firstLine="567"/>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принятая уполномоченным налоговым органом решения об отправке акцизных марок на зарубежный завод-производитель маркируемой продукции.</w:t>
      </w:r>
    </w:p>
    <w:p>
      <w:pPr>
        <w:spacing w:after="60"/>
        <w:ind w:firstLine="567"/>
        <w:jc w:val="both"/>
      </w:pPr>
      <w:r>
        <w:rPr>
          <w:rFonts w:ascii="Arial" w:cs="Arial" w:eastAsia="Arial" w:hAnsi="Arial"/>
          <w:sz w:val="24"/>
          <w:szCs w:val="24"/>
        </w:rPr>
        <w:t xml:space="preserve">21. Для маркировки алкогольной продукции, разлитой в большие емкости, при оформлении заявления на покупку акцизных марок налогоплательщик предоставляет подтверждение об уплате акцизного налога или банковской гарантии и номинальной стоимости акцизных марок. После подтверждения объема продукции органами налоговой службы, подлежащего маркировке, и уплаты номинальной стоимости акцизных марок орган налоговой службы принимает решение о выдаче акцизных марок.";</w:t>
      </w:r>
    </w:p>
    <w:p>
      <w:pPr>
        <w:spacing w:after="60"/>
        <w:ind w:firstLine="567"/>
        <w:jc w:val="both"/>
      </w:pPr>
      <w:r>
        <w:rPr>
          <w:rFonts w:ascii="Arial" w:cs="Arial" w:eastAsia="Arial" w:hAnsi="Arial"/>
          <w:sz w:val="24"/>
          <w:szCs w:val="24"/>
        </w:rPr>
        <w:t xml:space="preserve">- в пункте 22 цифры "15" заменить цифрами "19";</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Если на момент оформления заявления-расчета на приобретение акцизных марок в уполномоченном банке нет акцизных марок необходимого типа или емкости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или предоставления банковской гарантии на момент приобретения акцизных марок. 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 емкости и наименования маркируемой продукции налогоплательщику - покупателю акцизных марок, в уполномоченный банк,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борьбы с экономическими преступлениями и уполномоченный государственный орган по контролю в сфере производства и оборота этилового спирта, алкогольной и спиртосодержащей продукции, а также оборота табачных изделий.";</w:t>
      </w:r>
    </w:p>
    <w:p>
      <w:pPr>
        <w:spacing w:after="60"/>
        <w:ind w:firstLine="567"/>
        <w:jc w:val="both"/>
      </w:pPr>
      <w:r>
        <w:rPr>
          <w:rFonts w:ascii="Arial" w:cs="Arial" w:eastAsia="Arial" w:hAnsi="Arial"/>
          <w:sz w:val="24"/>
          <w:szCs w:val="24"/>
        </w:rPr>
        <w:t xml:space="preserve">- пункт 26 изложить в следующей редакции:</w:t>
      </w:r>
    </w:p>
    <w:p>
      <w:pPr>
        <w:spacing w:after="60"/>
        <w:ind w:firstLine="567"/>
        <w:jc w:val="both"/>
      </w:pPr>
      <w:r>
        <w:rPr>
          <w:rFonts w:ascii="Arial" w:cs="Arial" w:eastAsia="Arial" w:hAnsi="Arial"/>
          <w:sz w:val="24"/>
          <w:szCs w:val="24"/>
        </w:rPr>
        <w:t xml:space="preserve">"26. Акцизные марки изготавливаются на бумажных листах, имеют соответствующие формы и размеры в зависимости от вида подакцизной продукции, один или несколько защитных элементов, наименование и изображение Государственного герба Кыргызской Республики, порядковый номер, электронно-информационный элемент и серию, определяющую вид продукции и диапазон применяемых емкостей.";</w:t>
      </w:r>
    </w:p>
    <w:p>
      <w:pPr>
        <w:spacing w:after="60"/>
        <w:ind w:firstLine="567"/>
        <w:jc w:val="both"/>
      </w:pPr>
      <w:r>
        <w:rPr>
          <w:rFonts w:ascii="Arial" w:cs="Arial" w:eastAsia="Arial" w:hAnsi="Arial"/>
          <w:sz w:val="24"/>
          <w:szCs w:val="24"/>
        </w:rPr>
        <w:t xml:space="preserve">- пункт 29 изложить в следующей редакции:</w:t>
      </w:r>
    </w:p>
    <w:p>
      <w:pPr>
        <w:spacing w:after="60"/>
        <w:ind w:firstLine="567"/>
        <w:jc w:val="both"/>
      </w:pPr>
      <w:r>
        <w:rPr>
          <w:rFonts w:ascii="Arial" w:cs="Arial" w:eastAsia="Arial" w:hAnsi="Arial"/>
          <w:sz w:val="24"/>
          <w:szCs w:val="24"/>
        </w:rPr>
        <w:t xml:space="preserve">"29.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подпись и ведет учет отгруженной продукции и выданных марок с фиксацией типа, емкости, наименования, номеров акцизных марок и фамилии их получателя.";</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представить следующие документы:</w:t>
      </w:r>
    </w:p>
    <w:p>
      <w:pPr>
        <w:spacing w:after="60"/>
        <w:ind w:firstLine="567"/>
        <w:jc w:val="both"/>
      </w:pPr>
      <w:r>
        <w:rPr>
          <w:rFonts w:ascii="Arial" w:cs="Arial" w:eastAsia="Arial" w:hAnsi="Arial"/>
          <w:sz w:val="24"/>
          <w:szCs w:val="24"/>
        </w:rPr>
        <w:t xml:space="preserve">- письменное заявление с указанием причин возврата акцизных марок и просьбой разрешить повторно использовать уплаченный акцизный налог при следующей покупке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 экземпляр решения о выдаче акцизных марок.</w:t>
      </w:r>
    </w:p>
    <w:p>
      <w:pPr>
        <w:spacing w:after="60"/>
        <w:ind w:firstLine="56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 которое составляется в 3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sz w:val="24"/>
          <w:szCs w:val="24"/>
        </w:rPr>
        <w:t xml:space="preserve">- предложение второе абзаца второго пункта 32 изложить в следующей редакции: "При этом номинальная стоимость акцизных марок возврату не подлежит, а сумма акцизного налога засчитывается как излишне уплаченная, которая может быть использована только в счет уплаты акцизного налога при следующем получении акцизных марок соответствующего вида продукции.";</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производитель/импортер обязан представить в орган налоговой службы по месту получения акцизных марок следующие документы:</w:t>
      </w:r>
    </w:p>
    <w:p>
      <w:pPr>
        <w:spacing w:after="60"/>
        <w:ind w:firstLine="567"/>
        <w:jc w:val="both"/>
      </w:pPr>
      <w:r>
        <w:rPr>
          <w:rFonts w:ascii="Arial" w:cs="Arial" w:eastAsia="Arial" w:hAnsi="Arial"/>
          <w:sz w:val="24"/>
          <w:szCs w:val="24"/>
        </w:rPr>
        <w:t xml:space="preserve">- акт о порче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налогоплательщика, третий - в органе налоговой службы.</w:t>
      </w:r>
    </w:p>
    <w:p>
      <w:pPr>
        <w:spacing w:after="60"/>
        <w:ind w:firstLine="567"/>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60"/>
        <w:ind w:firstLine="567"/>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Взамен поврежденных марок выдаются новые акцизные марки без повторной уплаты акцизного налога на сумму акцизного налога поврежденных марок при условии оплаты номинальной стоимости акцизных марок.";</w:t>
      </w:r>
    </w:p>
    <w:p>
      <w:pPr>
        <w:spacing w:after="60"/>
        <w:ind w:firstLine="567"/>
        <w:jc w:val="both"/>
      </w:pPr>
      <w:r>
        <w:rPr>
          <w:rFonts w:ascii="Arial" w:cs="Arial" w:eastAsia="Arial" w:hAnsi="Arial"/>
          <w:sz w:val="24"/>
          <w:szCs w:val="24"/>
        </w:rPr>
        <w:t xml:space="preserve">- пункт 35 изложить в следующей редакции:</w:t>
      </w:r>
    </w:p>
    <w:p>
      <w:pPr>
        <w:spacing w:after="60"/>
        <w:ind w:firstLine="567"/>
        <w:jc w:val="both"/>
      </w:pPr>
      <w:r>
        <w:rPr>
          <w:rFonts w:ascii="Arial" w:cs="Arial" w:eastAsia="Arial" w:hAnsi="Arial"/>
          <w:sz w:val="24"/>
          <w:szCs w:val="24"/>
        </w:rPr>
        <w:t xml:space="preserve">"35.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 которая может быть использована только для получения акцизных марок соответствующего вида продукции.";</w:t>
      </w:r>
    </w:p>
    <w:p>
      <w:pPr>
        <w:spacing w:after="60"/>
        <w:ind w:firstLine="567"/>
        <w:jc w:val="both"/>
      </w:pPr>
      <w:r>
        <w:rPr>
          <w:rFonts w:ascii="Arial" w:cs="Arial" w:eastAsia="Arial" w:hAnsi="Arial"/>
          <w:sz w:val="24"/>
          <w:szCs w:val="24"/>
        </w:rPr>
        <w:t xml:space="preserve">4) в </w:t>
      </w:r>
      <w:hyperlink w:history="1" r:id="rIda6ufgjqnga2jwv9k_zjmw">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и администрирования депозитного платежа при ввозе маркируемой алкогольной продукции из государств-членов Евразийского экономического союза, утвержденном вышеуказанным </w:t>
      </w:r>
      <w:hyperlink w:history="1" r:id="rIdypxm-ofkg1detjsfr4bb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5 пункта 2 изложить в следующей редакции:</w:t>
      </w:r>
    </w:p>
    <w:p>
      <w:pPr>
        <w:spacing w:after="60"/>
        <w:ind w:firstLine="567"/>
        <w:jc w:val="both"/>
      </w:pPr>
      <w:r>
        <w:rPr>
          <w:rFonts w:ascii="Arial" w:cs="Arial" w:eastAsia="Arial" w:hAnsi="Arial"/>
          <w:sz w:val="24"/>
          <w:szCs w:val="24"/>
        </w:rPr>
        <w:t xml:space="preserve">"5) реестр по администрированию депозитного счета и банковской гарантии (далее - реестр) - основной документ системы учета поступления, перечисления на бюджетный счет и возврата депозитных платежей, оформляемый для каждого импортера и суммы в отдельности;";</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Уполномоченный налоговый орган осуществляет учет и контроль за исполнением импортером обязательств по внесению денежных средств на депозитный счет или предоставлению банковской гарантии. Для учета внесенных импортером денежных средств или предоставленной банковской гарантии уполномоченный налоговый орган ведет реестр по суммам исполнения обязательств.";</w:t>
      </w:r>
    </w:p>
    <w:p>
      <w:pPr>
        <w:spacing w:after="60"/>
        <w:ind w:firstLine="567"/>
        <w:jc w:val="both"/>
      </w:pPr>
      <w:r>
        <w:rPr>
          <w:rFonts w:ascii="Arial" w:cs="Arial" w:eastAsia="Arial" w:hAnsi="Arial"/>
          <w:sz w:val="24"/>
          <w:szCs w:val="24"/>
        </w:rPr>
        <w:t xml:space="preserve">- абзац первый пункта 13 изложить в следующей редакции:</w:t>
      </w:r>
    </w:p>
    <w:p>
      <w:pPr>
        <w:spacing w:after="60"/>
        <w:ind w:firstLine="567"/>
        <w:jc w:val="both"/>
      </w:pPr>
      <w:r>
        <w:rPr>
          <w:rFonts w:ascii="Arial" w:cs="Arial" w:eastAsia="Arial" w:hAnsi="Arial"/>
          <w:sz w:val="24"/>
          <w:szCs w:val="24"/>
        </w:rPr>
        <w:t xml:space="preserve">"13. Реестр предназначен для:";</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Реестр по депозитным платежам ведется с включением информации по каждому налогоплательщику и сумме для учета денежных средств, внесенных на депозитный счет уполномоченного налогового органа на основании принятого обязательства или предоставленной банковской гарантии.";</w:t>
      </w:r>
    </w:p>
    <w:p>
      <w:pPr>
        <w:spacing w:after="60"/>
        <w:ind w:firstLine="567"/>
        <w:jc w:val="both"/>
      </w:pPr>
      <w:r>
        <w:rPr>
          <w:rFonts w:ascii="Arial" w:cs="Arial" w:eastAsia="Arial" w:hAnsi="Arial"/>
          <w:sz w:val="24"/>
          <w:szCs w:val="24"/>
        </w:rPr>
        <w:t xml:space="preserve">- в пункте 16 слова "открытия лицевой карточки" заменить словами "внесения в реестр";</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Реестр по депозитным платежам открывается на каждый календарный год. Остаток средств переносится на следующий год. В реестре по депозитным платежам в обязательном порядке указываются следующие реквизиты:</w:t>
      </w:r>
    </w:p>
    <w:p>
      <w:pPr>
        <w:spacing w:after="60"/>
        <w:ind w:firstLine="567"/>
        <w:jc w:val="both"/>
      </w:pPr>
      <w:r>
        <w:rPr>
          <w:rFonts w:ascii="Arial" w:cs="Arial" w:eastAsia="Arial" w:hAnsi="Arial"/>
          <w:sz w:val="24"/>
          <w:szCs w:val="24"/>
        </w:rPr>
        <w:t xml:space="preserve">- полное наименование налогоплательщика;</w:t>
      </w:r>
    </w:p>
    <w:p>
      <w:pPr>
        <w:spacing w:after="60"/>
        <w:ind w:firstLine="567"/>
        <w:jc w:val="both"/>
      </w:pPr>
      <w:r>
        <w:rPr>
          <w:rFonts w:ascii="Arial" w:cs="Arial" w:eastAsia="Arial" w:hAnsi="Arial"/>
          <w:sz w:val="24"/>
          <w:szCs w:val="24"/>
        </w:rPr>
        <w:t xml:space="preserve">- ИНН налогоплательщика.";</w:t>
      </w:r>
    </w:p>
    <w:p>
      <w:pPr>
        <w:spacing w:after="60"/>
        <w:ind w:firstLine="567"/>
        <w:jc w:val="both"/>
      </w:pPr>
      <w:r>
        <w:rPr>
          <w:rFonts w:ascii="Arial" w:cs="Arial" w:eastAsia="Arial" w:hAnsi="Arial"/>
          <w:sz w:val="24"/>
          <w:szCs w:val="24"/>
        </w:rPr>
        <w:t xml:space="preserve">5) в </w:t>
      </w:r>
      <w:hyperlink w:history="1" r:id="rIdcw0ueihnbrhsycwwgzlzk">
        <w:r>
          <w:rPr>
            <w:rFonts w:ascii="Arial" w:cs="Arial" w:eastAsia="Arial" w:hAnsi="Arial"/>
            <w:color w:val="1D4ED8"/>
            <w:sz w:val="24"/>
            <w:szCs w:val="24"/>
            <w:u w:val="single"/>
          </w:rPr>
          <w:t xml:space="preserve">ставках</w:t>
        </w:r>
      </w:hyperlink>
      <w:r>
        <w:rPr>
          <w:rFonts w:ascii="Arial" w:cs="Arial" w:eastAsia="Arial" w:hAnsi="Arial"/>
          <w:sz w:val="24"/>
          <w:szCs w:val="24"/>
        </w:rPr>
        <w:t xml:space="preserve"> акцизного налога на отдельные подакцизные товары, производимые на территории Кыргызской Республики и ввозимые на территорию Кыргызской Республики, установленных </w:t>
      </w:r>
      <w:hyperlink w:history="1" r:id="rIdwfjwabhllscjvjfu8lr-t">
        <w:r>
          <w:rPr>
            <w:rFonts w:ascii="Arial" w:cs="Arial" w:eastAsia="Arial" w:hAnsi="Arial"/>
            <w:color w:val="1D4ED8"/>
            <w:sz w:val="24"/>
            <w:szCs w:val="24"/>
            <w:u w:val="single"/>
          </w:rPr>
          <w:t xml:space="preserve">вышеуказанным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6840"/>
        <w:gridCol w:w="765"/>
        <w:gridCol w:w="765"/>
        <w:gridCol w:w="765"/>
        <w:gridCol w:w="749"/>
      </w:tblGrid>
      <w:tr>
        <w:tc>
          <w:tcPr>
            <w:tcW w:type="dxa" w:w="2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других подслащивающих или вкусо-ароматических веществ, классифицируемые в товарной позиции ТН ВЭД 2202, за исключением национальных напитков (бозо, максым и жарма) в соответствии с КМС 891:2003 "Напиток "Бозо". Технические условия" и КМС 980:2021 "Напитки национальные "Максым" и "Жарма". Технические условия" и детского питания в соответствии с техническим регламентом Таможенного союза "О безопасности пищевой продукции" (ТР ТС 021/2011) (при наличии соответствующего свидетельства о государственной регистрации)</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сомов/литр</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сом/литр</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сома/литр</w:t>
            </w:r>
          </w:p>
        </w:tc>
        <w:tc>
          <w:tcPr>
            <w:tcW w:type="dxa" w:w="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сома/литр</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пунктами 1-1, 1-2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
        <w:gridCol w:w="6824"/>
        <w:gridCol w:w="756"/>
        <w:gridCol w:w="756"/>
        <w:gridCol w:w="756"/>
        <w:gridCol w:w="756"/>
      </w:tblGrid>
      <w:tr>
        <w:tc>
          <w:tcPr>
            <w:tcW w:type="dxa" w:w="3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Национальные напитки (бозо, максым и жарма) в соответствии с КМС 891:2003 "Напиток "Бозо". Технические условия" и КМС 980:2021 "Напитки национальные "Максым" и "Жарма". Технические условия" и детское питание в соответствии с техническим регламентом Таможенного союза "О безопасности пищевой продукции" (ТР ТС 021/2011) (при наличии соответствующего свидетельства о государственной регистрации), классифицируемые в товарной позиции ТН ВЭД 2202</w:t>
            </w:r>
          </w:p>
        </w:tc>
        <w:tc>
          <w:tcPr>
            <w:tcW w:type="dxa" w:w="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сом/литр</w:t>
            </w: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безалкогольные напитки, классифицируемые в товарной позиции ТН ВЭД 2202, с 1 апреля 2024 года</w:t>
            </w:r>
          </w:p>
        </w:tc>
        <w:tc>
          <w:tcPr>
            <w:tcW w:type="dxa" w:w="302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сом/литр</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Внести в </w:t>
      </w:r>
      <w:hyperlink w:history="1" r:id="rIdurbt6ryblrtqamq_b7zp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k_q2j_0rk68mag7c-5yc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года № 94 следующее изменение:</w:t>
      </w:r>
    </w:p>
    <w:p>
      <w:pPr>
        <w:spacing w:after="60"/>
        <w:ind w:firstLine="567"/>
        <w:jc w:val="both"/>
      </w:pPr>
      <w:r>
        <w:rPr>
          <w:rFonts w:ascii="Arial" w:cs="Arial" w:eastAsia="Arial" w:hAnsi="Arial"/>
          <w:sz w:val="24"/>
          <w:szCs w:val="24"/>
        </w:rPr>
        <w:t xml:space="preserve">в </w:t>
      </w:r>
      <w:hyperlink w:history="1" r:id="rIdbtd3gv24xxlolk5v3t_jk">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Кабинета Министров Кыргызской Республики по реализации </w:t>
      </w:r>
      <w:hyperlink w:history="1" r:id="rIdbkrfp2f5dyojai5w1lpl1">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утвержденном </w:t>
      </w:r>
      <w:hyperlink w:history="1" r:id="rIdgqjwc8fig9oyzl_l5qx6i">
        <w:r>
          <w:rPr>
            <w:rFonts w:ascii="Arial" w:cs="Arial" w:eastAsia="Arial" w:hAnsi="Arial"/>
            <w:color w:val="1D4ED8"/>
            <w:sz w:val="24"/>
            <w:szCs w:val="24"/>
            <w:u w:val="single"/>
          </w:rPr>
          <w:t xml:space="preserve">вышеуказанным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1.1.26 признать утратившим силу.</w:t>
      </w:r>
    </w:p>
    <w:p>
      <w:pPr>
        <w:spacing w:after="60"/>
        <w:ind w:firstLine="567"/>
        <w:jc w:val="both"/>
      </w:pPr>
      <w:r>
        <w:rPr>
          <w:rFonts w:ascii="Arial" w:cs="Arial" w:eastAsia="Arial" w:hAnsi="Arial"/>
          <w:sz w:val="24"/>
          <w:szCs w:val="24"/>
        </w:rPr>
        <w:t xml:space="preserve">4. Внести в </w:t>
      </w:r>
      <w:hyperlink w:history="1" r:id="rIdnp6ucxqa_ztozkdg41_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продлении пилотного (экспериментального) проекта по маркировке отдельных видов товаров средствами цифровой идентификации" от 3 марта 2023 года № 125 следующее изменение:</w:t>
      </w:r>
    </w:p>
    <w:p>
      <w:pPr>
        <w:spacing w:after="60"/>
        <w:ind w:firstLine="567"/>
        <w:jc w:val="both"/>
      </w:pPr>
      <w:r>
        <w:rPr>
          <w:rFonts w:ascii="Arial" w:cs="Arial" w:eastAsia="Arial" w:hAnsi="Arial"/>
          <w:sz w:val="24"/>
          <w:szCs w:val="24"/>
        </w:rPr>
        <w:t xml:space="preserve">- в пункте 2 слова "2023 года" заменить словами "2024 года".</w:t>
      </w:r>
    </w:p>
    <w:p>
      <w:pPr>
        <w:spacing w:after="60"/>
        <w:ind w:firstLine="567"/>
        <w:jc w:val="both"/>
      </w:pPr>
      <w:r>
        <w:rPr>
          <w:rFonts w:ascii="Arial" w:cs="Arial" w:eastAsia="Arial" w:hAnsi="Arial"/>
          <w:sz w:val="24"/>
          <w:szCs w:val="24"/>
        </w:rPr>
        <w:t xml:space="preserve">5. Настоящее постановление подлежит официальному опубликованию и вступает в силу с 1 января 2024 года.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29 марта 2024 года № 24 (3577)</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w:t>
      </w:r>
      <w:r>
        <w:rPr>
          <w:rFonts w:ascii="Arial" w:cs="Arial" w:eastAsia="Arial" w:hAnsi="Arial"/>
          <w:b/>
          <w:bCs/>
          <w:sz w:val="24"/>
          <w:szCs w:val="24"/>
        </w:rPr>
        <w:t xml:space="preserve">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ucejncwhpiploidv_bb" Type="http://schemas.openxmlformats.org/officeDocument/2006/relationships/hyperlink" Target="http://kodeks.duckdns.org/document/112340#st_336" TargetMode="External"/><Relationship Id="rIdykxrmow4a-wxlot2pzx26" Type="http://schemas.openxmlformats.org/officeDocument/2006/relationships/hyperlink" Target="http://kodeks.duckdns.org/document/112340#st_345" TargetMode="External"/><Relationship Id="rIdif5pchxtuhra-umbcflkl" Type="http://schemas.openxmlformats.org/officeDocument/2006/relationships/hyperlink" Target="http://kodeks.duckdns.org/document/112301#st_13" TargetMode="External"/><Relationship Id="rIdx1j84ojhoif9hsrx_psfr" Type="http://schemas.openxmlformats.org/officeDocument/2006/relationships/hyperlink" Target="http://kodeks.duckdns.org/document/112301#st_17" TargetMode="External"/><Relationship Id="rIdieqmr0r9xzoq-7juag3d7" Type="http://schemas.openxmlformats.org/officeDocument/2006/relationships/hyperlink" Target="http://kodeks.duckdns.org/document/158815" TargetMode="External"/><Relationship Id="rIdai6x7wpdoawmyfkmeqjpd" Type="http://schemas.openxmlformats.org/officeDocument/2006/relationships/hyperlink" Target="http://kodeks.duckdns.org/document/159100" TargetMode="External"/><Relationship Id="rIdgtya77wsauna_ri4seazu" Type="http://schemas.openxmlformats.org/officeDocument/2006/relationships/hyperlink" Target="http://kodeks.duckdns.org/document/112340#st_336" TargetMode="External"/><Relationship Id="rIdiaymxsf2hty7nctkyxnou" Type="http://schemas.openxmlformats.org/officeDocument/2006/relationships/hyperlink" Target="http://kodeks.duckdns.org/document/112340#st_345" TargetMode="External"/><Relationship Id="rId1opir5evcihll6kucb4mo" Type="http://schemas.openxmlformats.org/officeDocument/2006/relationships/hyperlink" Target="http://kodeks.duckdns.org/document/112340#st_334" TargetMode="External"/><Relationship Id="rId52wtwyc7n7yzabtetiek2" Type="http://schemas.openxmlformats.org/officeDocument/2006/relationships/hyperlink" Target="http://kodeks.duckdns.org/document/430908" TargetMode="External"/><Relationship Id="rIdx6zwxah7pbahck_qvmsmn" Type="http://schemas.openxmlformats.org/officeDocument/2006/relationships/hyperlink" Target="http://kodeks.duckdns.org/document/159100" TargetMode="External"/><Relationship Id="rIdjyngeop0chgcv6dq4gpx-" Type="http://schemas.openxmlformats.org/officeDocument/2006/relationships/hyperlink" Target="http://kodeks.duckdns.org/document/430908" TargetMode="External"/><Relationship Id="rId1yrf0rsvgc91ncn7ft6s_" Type="http://schemas.openxmlformats.org/officeDocument/2006/relationships/hyperlink" Target="http://kodeks.duckdns.org/document/430908#pr2" TargetMode="External"/><Relationship Id="rIda6ufgjqnga2jwv9k_zjmw" Type="http://schemas.openxmlformats.org/officeDocument/2006/relationships/hyperlink" Target="http://kodeks.duckdns.org/document/159100#pr2" TargetMode="External"/><Relationship Id="rIdypxm-ofkg1detjsfr4bbu" Type="http://schemas.openxmlformats.org/officeDocument/2006/relationships/hyperlink" Target="http://kodeks.duckdns.org/document/159100" TargetMode="External"/><Relationship Id="rIdcw0ueihnbrhsycwwgzlzk" Type="http://schemas.openxmlformats.org/officeDocument/2006/relationships/hyperlink" Target="http://kodeks.duckdns.org/document/159100#pr3" TargetMode="External"/><Relationship Id="rIdwfjwabhllscjvjfu8lr-t" Type="http://schemas.openxmlformats.org/officeDocument/2006/relationships/hyperlink" Target="http://kodeks.duckdns.org/document/159100" TargetMode="External"/><Relationship Id="rIdurbt6ryblrtqamq_b7zpm" Type="http://schemas.openxmlformats.org/officeDocument/2006/relationships/hyperlink" Target="http://kodeks.duckdns.org/document/160027" TargetMode="External"/><Relationship Id="rIdk_q2j_0rk68mag7c-5yci" Type="http://schemas.openxmlformats.org/officeDocument/2006/relationships/hyperlink" Target="http://kodeks.duckdns.org/document/160028" TargetMode="External"/><Relationship Id="rIdbtd3gv24xxlolk5v3t_jk" Type="http://schemas.openxmlformats.org/officeDocument/2006/relationships/hyperlink" Target="http://kodeks.duckdns.org/document/160027#pr2" TargetMode="External"/><Relationship Id="rIdbkrfp2f5dyojai5w1lpl1" Type="http://schemas.openxmlformats.org/officeDocument/2006/relationships/hyperlink" Target="http://kodeks.duckdns.org/document/160028" TargetMode="External"/><Relationship Id="rIdgqjwc8fig9oyzl_l5qx6i" Type="http://schemas.openxmlformats.org/officeDocument/2006/relationships/hyperlink" Target="http://kodeks.duckdns.org/document/160027" TargetMode="External"/><Relationship Id="rIdnp6ucxqa_ztozkdg41_eh" Type="http://schemas.openxmlformats.org/officeDocument/2006/relationships/hyperlink" Target="http://kodeks.duckdns.org/document/160011"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2026-09-23T09:28:58.565Z</dcterms:created>
  <dcterms:modified xsi:type="dcterms:W3CDTF">2026-09-23T09:28:58.565Z</dcterms:modified>
</cp:coreProperties>
</file>

<file path=docProps/custom.xml><?xml version="1.0" encoding="utf-8"?>
<Properties xmlns="http://schemas.openxmlformats.org/officeDocument/2006/custom-properties" xmlns:vt="http://schemas.openxmlformats.org/officeDocument/2006/docPropsVTypes"/>
</file>