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некоммерческих организациях»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jpcge0eb248tzcrsth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некоммерческих организациях» (Ведомости Жогорку Кенеша Кыргызской Республики, 2000 г., № 2, ст.102)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3msvpkabfstcp8gyq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четвертой-одиннадцатой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Иностранная некоммерческая организация -</w:t>
      </w:r>
      <w:r>
        <w:rPr>
          <w:rFonts w:ascii="Arial" w:cs="Arial" w:eastAsia="Arial" w:hAnsi="Arial"/>
          <w:sz w:val="24"/>
          <w:szCs w:val="24"/>
        </w:rPr>
        <w:t xml:space="preserve"> организация, не имеющая в качестве основной цели своей деятельности извлечение прибыли и не распределяющая полученную прибыль между участниками, созданная за пределами территории Кыргызской Республики в соответствии с законодательством иностранного государства, учредителями (участниками) которой не являются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Иностранная некоммерческая организация осуществляет свою деятельность на территории Кыргызской Республики через свои структурные подразделения - филиалы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Структурные подразделения иностранных некоммерческих организаций -</w:t>
      </w:r>
      <w:r>
        <w:rPr>
          <w:rFonts w:ascii="Arial" w:cs="Arial" w:eastAsia="Arial" w:hAnsi="Arial"/>
          <w:sz w:val="24"/>
          <w:szCs w:val="24"/>
        </w:rPr>
        <w:t xml:space="preserve"> филиалы и представительства иностранных некоммерческих организаций, подлежащие государственной регистрации и приобретающие правоспособность на территории Кыргызской Республики со дня внесения в реестр филиалов и представительств международных организаций и иностранных некоммерческих организаций сведений о соответствующем структурном подразделении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Некоммерческая организация, выполняющая функции иностранного представителя -</w:t>
      </w:r>
      <w:r>
        <w:rPr>
          <w:rFonts w:ascii="Arial" w:cs="Arial" w:eastAsia="Arial" w:hAnsi="Arial"/>
          <w:sz w:val="24"/>
          <w:szCs w:val="24"/>
        </w:rPr>
        <w:t xml:space="preserve"> некоммерческая организация, созданная в Кыргызской Республике,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 иностранных источников, в политической деятельности, осуществляемой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признается участвующей в политической деятельности, осуществляемой на территории Кыргызской Республики,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деятельность -</w:t>
      </w:r>
      <w:r>
        <w:rPr>
          <w:rFonts w:ascii="Arial" w:cs="Arial" w:eastAsia="Arial" w:hAnsi="Arial"/>
          <w:sz w:val="24"/>
          <w:szCs w:val="24"/>
        </w:rPr>
        <w:t xml:space="preserve"> деятельность в сфере государственного устройства, защиты основ конституционного строя Кыргызской Республики, защиты суверенитета и обеспечения территориальной целостности, законности, правопорядка, государственной и общественной безопасности, обороны, внешней политики, социально-экономического и национального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политической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и проведении публичных мероприятий в форме собраний, митингов, демонстраций, шествий или пикетирований либо в различных сочетаниях этих форм, организации и проведении публичных дебатов, дискуссий,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деятельности, направленной на получение определенного результата на выборах, референдумах, в наблюдении за проведением выборов, референдумов, формировании избирательных комиссий, комиссий по проведению референдумов, в деятельности политических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обращения к государственным органам, органам местного самоуправления, их должностным лицам, а также иные действия, оказывающие влияние на деятельность этих органов, в том числе на принятие, изменение, отмену законов или иных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распространение, в том числе с использованием современных информационных технологий, мнений о принимаемых государственными органами решениях и проводимой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общественно-политических взглядов и убеждений, в том числе путем проведения опросов общественного мнения и обнародования их результатов или проведения иных социологических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граждан, в том числе несовершеннолетних, в указанную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политической деятельности не относится деятельность в области науки, культуры, искусства, здравоохранения, охраны здоровья граждан, социальной поддержки и защиты граждан, социальной поддержки инвалидов, защиты материнства и детства, пропаганды здорового образа жизни, физической культуры и спорта, защиты растительного и животного мира, а также благотворительная деятельность.»;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ijjyimjswfgoe1l7j_f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Нарушение некоммерческой организацией положений настоящего Закона влечет ответственность в соответствии с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ijgh9vdh1cb4d_8e-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fi_qjvie9hqt1hnuo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9rj-jjb7lyqq0msqn0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Открытость некоммерческой организации, выполняющей функции иностранного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органом ведется Реестр некоммерческих организаций, выполняющих функции иностранного представителя (далее -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включаются наименование некоммерческой организации, сведения об учредителях и руководителе.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Реестра, в том числе требования к содержащимся в нем сведениям,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некоммерческой организации, выполняющей функции иностранного представителя, обязан подать в уполномоченный орган заявление о включении ее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Реестре, размещаются в порядке, определенном уполномоченным органом,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Материалы, производимые и (или) распространяемые некоммерческими организациями, выполняющими функции иностранного представителя, включенными в Реестр, в том числе через средства массовой информации и (или) с использованием сети Интернет, должны сопровождаться указанием на то, что эти материалы (информация) произведены, распространены и (или) направлены некоммерческой организацией, выполняющей функции иностранного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Некоммерческая организация, выполняющая функции иностранного представителя, ежегодно представляет в уполномоченный орган аудиторское заключение независимого аудитора, если иное не предусмотрено международным договором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нарушения некоммерческой организацией, выполняющей функции иностранного представителя, частей 3, 5 и 6 настоящей статьи уполномоченный орган направляет письменное уведомление с указанием допущенных нарушений и срока их устранения, составляющего не более одного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некоммерческая организация, получившая уведомление в порядке, предусмотренном частью 7 настоящей статьи, не устранит нарушения, указанные в уведомлении, уполномоченный орган своим решением приостанавливает ее деятельность на срок не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деятельности такой некоммерческой организации может быть обжаловано в порядке, предусмотренном </w:t>
      </w:r>
      <w:hyperlink w:history="1" r:id="rIdymllg1lsjhnjizbnwk6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жалобы в порядке, установленном настоящим Законом, не приостанавливает исполнение обжалуемого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деятельности некоммерческой организации ей запрещается использовать банковские вклады, за исключением расчетов по хозяйственной деятельности, трудовым договорам, возмещению убытков, причиненных ее действиями, уплате налогов, сборов и штрафов.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течение установленного срока приостановления деятельности некоммерческая организация не устранит нарушения, указанные в уведомлении, уполномоченный орган обращается в суд с заявлением о ликвидации юридического лица в соответствии со </w:t>
      </w:r>
      <w:hyperlink w:history="1" r:id="rIdrabojuavnfwwzwwot6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в течение установленного срока приостановления деятельности некоммерческой организации она устранит нарушения, указанные в уведомлении, некоммерческая организация возобновляет свою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сфере государственной регистрации осуществляет контроль за соответствием деятельности некоммерческой организации целям, предусмотренным ее учредительными документами, и законодательству Кыргызской Республики. В этих целях уполномоченный орган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управления некоммерческой организации их распорядительные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 финансово-хозяйственной деятельности некоммерческих организаций у органов государственной статистики, налоговых органов и иных органов государственного надзора и контроля, а также кредитных и иных финансовых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представителей для участия в мероприятиях, проводимых некоммерческой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соответствия деятельности некоммерческой организации, в том числе по расходованию денежных средств и использованию иного имущества, целям, предусмотренным ее учредительными документами, в порядке, установленном уполномоченным органом.».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апреля 2024 года № 26 (3579)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марта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pcge0eb248tzcrsth4n" Type="http://schemas.openxmlformats.org/officeDocument/2006/relationships/hyperlink" Target="http://kodeks.duckdns.org/document/274" TargetMode="External"/><Relationship Id="rIdlj3msvpkabfstcp8gyqo3" Type="http://schemas.openxmlformats.org/officeDocument/2006/relationships/hyperlink" Target="http://kodeks.duckdns.org/document/274#st_2" TargetMode="External"/><Relationship Id="rIdijjyimjswfgoe1l7j_f6j" Type="http://schemas.openxmlformats.org/officeDocument/2006/relationships/hyperlink" Target="http://kodeks.duckdns.org/document/274#st_15" TargetMode="External"/><Relationship Id="rIdyijgh9vdh1cb4d_8e-xwy" Type="http://schemas.openxmlformats.org/officeDocument/2006/relationships/hyperlink" Target="http://kodeks.duckdns.org/document/274#g1" TargetMode="External"/><Relationship Id="rIdcfi_qjvie9hqt1hnuorgk" Type="http://schemas.openxmlformats.org/officeDocument/2006/relationships/hyperlink" Target="http://kodeks.duckdns.org/document/274#st_17_1" TargetMode="External"/><Relationship Id="rId9rj-jjb7lyqq0msqn06qr" Type="http://schemas.openxmlformats.org/officeDocument/2006/relationships/hyperlink" Target="http://kodeks.duckdns.org/document/274#st_17_1" TargetMode="External"/><Relationship Id="rIdymllg1lsjhnjizbnwk6rj" Type="http://schemas.openxmlformats.org/officeDocument/2006/relationships/hyperlink" Target="http://kodeks.duckdns.org/document/111254" TargetMode="External"/><Relationship Id="rIdrabojuavnfwwzwwot6sxr" Type="http://schemas.openxmlformats.org/officeDocument/2006/relationships/hyperlink" Target="http://kodeks.duckdns.org/document/4#st_9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2026-09-23T03:44:02.073Z</dcterms:created>
  <dcterms:modified xsi:type="dcterms:W3CDTF">2026-09-23T03:44:02.073Z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