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заполнения информационной карточки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определяют форму и порядок заполнения информационной карточки в электронном виде, используемую при совершении таможенных операций, связанных с представлением предварительной информации до прибытия товаров на таможенную границу Евразийского экономического союза в Кыргызской Республике, а также после прибытия товаров на таможенную границу Евразийского экономического союза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Информационная карточка оформляется таможенным органом по форме согласно приложению к настоящим Правилам и нумеруется порядковой нумерацией в пределах календарного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Информационная карточка заполняется прописными буквами с использованием печатающих устройств, разборчиво, не должна содержать подчисток, помарок и исправлений.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 документах встречается написание наименований иностранных лиц, товаров, транспортных средств с использованием букв латинского алфавита, то такие сведения указываются в информационной карточке буквами латинского алфавита.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Элемент «Фото с камеры» графы «Данные по предварительному информированию» используется при наличии фото-, видеофайлов, копии электронных документов в формате PDF, которые автоматически прикрепляются в соответствующие графы информационной карточки.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Графа «Данные по предварительному информированию» заполняется должностным лицом таможенного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Графа «Санитарно-карантинный контроль» заполняется уполномоченным органом в области санитарно-эпидемиологического благополучия населения с указанием одного из решений, определенных в </w:t>
      </w:r>
      <w:hyperlink w:history="1" r:id="rIdixw_4zqglhjnlnqhdso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</w:t>
      </w:r>
      <w:hyperlink w:history="1" r:id="rId0qwbzw8zy2ohblfyrhz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Порядку</w:t>
        </w:r>
      </w:hyperlink>
      <w:r>
        <w:rPr>
          <w:rFonts w:ascii="Arial" w:cs="Arial" w:eastAsia="Arial" w:hAnsi="Arial"/>
          <w:sz w:val="24"/>
          <w:szCs w:val="24"/>
        </w:rPr>
        <w:t xml:space="preserve">, с последующей фиксацией элемента «Подтвердить».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Графа «Фитосанитарный контроль» заполняется уполномоченным органом по карантину растений с указанием одного из решений, определенных в </w:t>
      </w:r>
      <w:hyperlink w:history="1" r:id="rId2w4wguspsgwv7z-fvzq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</w:t>
      </w:r>
      <w:hyperlink w:history="1" r:id="rIday3ijatelnapasgkkax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Порядку</w:t>
        </w:r>
      </w:hyperlink>
      <w:r>
        <w:rPr>
          <w:rFonts w:ascii="Arial" w:cs="Arial" w:eastAsia="Arial" w:hAnsi="Arial"/>
          <w:sz w:val="24"/>
          <w:szCs w:val="24"/>
        </w:rPr>
        <w:t xml:space="preserve">, с последующей фиксацией элемента «Подтвердить».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Графа «Ветеринарный контроль» заполняется уполномоченным органом в области ветеринарии с указанием одного из решений, определенных в </w:t>
      </w:r>
      <w:hyperlink w:history="1" r:id="rIdafirt3smzv1wgzvv4mf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</w:t>
      </w:r>
      <w:hyperlink w:history="1" r:id="rIdvwy5djcwcpqvzhu1vpn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Порядку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Графа «Транспортный контроль» заполняется уполномоченным органом по транспортному контролю с указанием одного из решений, определенных в </w:t>
      </w:r>
      <w:hyperlink w:history="1" r:id="rIdf1a7_h6vkeaupixqzyq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7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</w:t>
      </w:r>
      <w:hyperlink w:history="1" r:id="rIdzhfl-z7jmkcvonjsy5w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Порядку</w:t>
        </w:r>
      </w:hyperlink>
      <w:r>
        <w:rPr>
          <w:rFonts w:ascii="Arial" w:cs="Arial" w:eastAsia="Arial" w:hAnsi="Arial"/>
          <w:sz w:val="24"/>
          <w:szCs w:val="24"/>
        </w:rPr>
        <w:t xml:space="preserve">, с последующей фиксацией элемента «Подтвердить».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Графа «Таможенный контроль» заполняется уполномоченным органом в сфере таможенного дела с указанием решения о применении в отношении объектов таможенного контроля определенных форм таможенного контроля и (или) мер, обеспечивающих проведение таможенного контроля, с последующей фиксацией элемента «Подтвердить».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Графа «Инспекционно-досмотровой комплекс» раздела «Результаты контроля» заполняется уполномоченным органом в сфере таможенного дела с указанием результатов проведения таможенного осмотра с применением «Инспекционно-досмотрового комплекса» на основании анализа радиоскопического изображения.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Графа «Весогабаритный контроль» раздела «Результаты контроля» заполняется уполномоченным органом в сфере таможенного дела с указанием результатов проведенного весогабаритного контроля транспортного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Графа «Портальные мониторы радиационного контроля» раздела «Результаты контроля» заполняется уполномоченным органом в сфере таможенного дела с указанием результатов проведенного радиационного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Графа «Санитарно-карантинный контроль» раздела «Результаты контроля» заполняется уполномоченным органом в области санитарно-эпидемиологического благополучия населения с указанием результатов проведенного документального контроля, досмотра (осмотра) продукции (товаров) (в случае их проведения) и одного из решений «Ввоз разрешен»/«Ввоз запрещен».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Графа «Фитосанитарный контроль» раздела «Результаты контроля» заполняется уполномоченным органом по карантину растений с указанием результатов проведенного документального контроля, досмотра (осмотра) продукции (товаров) (в случае их проведения) и одного из решений «Ввоз разрешен»/«Ввоз запрещен».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Графа «Ветеринарный контроль» раздела «Результаты контроля» заполняется уполномоченным органом в области ветеринарии с указанием результатов проведенного документального контроля, досмотра (осмотра) продукции (товаров) (в случае их проведения) и одного из решений «Ввоз разрешен»/«Ввоз запрещен».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Графа «Транспортный контроль» раздела «Результаты контроля» заполняется уполномоченным органом в сфере таможенного дела с указанием результатов проведенного документального контроля и одного из решений «Въезд разрешен»/«Въезд запрещен» либо «Выезд разрешен»/«Выезд запрещен».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Графа «Таможенный контроль» раздела «Результаты контроля» заполняется уполномоченным органом в сфере таможенного дела с указанием решения о разрешении либо запрете пропуска через таможенную границу Евразийского экономического союза в Кыргызской Республике товаров и транспортных средств с последующей фиксацией элементов «Подтвердить» либо «Отклонить».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Информационная карточка № 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Результаты контроля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94q4nksgzvshom0gi3a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dalil.kg/document/230004519</w:t>
      </w:r>
    </w:hyperlink>
  </w:p>
  <w:p>
    <w:pPr>
      <w:spacing w:after="0" w:before="40"/>
      <w:jc w:val="center"/>
    </w:pPr>
    <w:hyperlink w:history="1" r:id="rIdvdl5mezu8gkmo6jh15g5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xw_4zqglhjnlnqhdsobu" Type="http://schemas.openxmlformats.org/officeDocument/2006/relationships/hyperlink" Target="https://dalil.kg/document/230004524#pr4" TargetMode="External"/><Relationship Id="rId0qwbzw8zy2ohblfyrhzvw" Type="http://schemas.openxmlformats.org/officeDocument/2006/relationships/hyperlink" Target="https://dalil.kg/document/230004498" TargetMode="External"/><Relationship Id="rId2w4wguspsgwv7z-fvzq3u" Type="http://schemas.openxmlformats.org/officeDocument/2006/relationships/hyperlink" Target="https://dalil.kg/document/230004524#pr6" TargetMode="External"/><Relationship Id="rIday3ijatelnapasgkkax6r" Type="http://schemas.openxmlformats.org/officeDocument/2006/relationships/hyperlink" Target="https://dalil.kg/document/230004498" TargetMode="External"/><Relationship Id="rIdafirt3smzv1wgzvv4mfkg" Type="http://schemas.openxmlformats.org/officeDocument/2006/relationships/hyperlink" Target="https://dalil.kg/document/230004524#pr5" TargetMode="External"/><Relationship Id="rIdvwy5djcwcpqvzhu1vpneb" Type="http://schemas.openxmlformats.org/officeDocument/2006/relationships/hyperlink" Target="https://dalil.kg/document/230004498" TargetMode="External"/><Relationship Id="rIdf1a7_h6vkeaupixqzyqdx" Type="http://schemas.openxmlformats.org/officeDocument/2006/relationships/hyperlink" Target="https://dalil.kg/document/230004524#pr7" TargetMode="External"/><Relationship Id="rIdzhfl-z7jmkcvonjsy5w7v" Type="http://schemas.openxmlformats.org/officeDocument/2006/relationships/hyperlink" Target="https://dalil.kg/document/23000449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94q4nksgzvshom0gi3a7" Type="http://schemas.openxmlformats.org/officeDocument/2006/relationships/hyperlink" Target="https://dalil.kg/document/230004519" TargetMode="External"/><Relationship Id="rIdvdl5mezu8gkmo6jh15g5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2026-09-25T07:47:48.953Z</dcterms:created>
  <dcterms:modified xsi:type="dcterms:W3CDTF">2026-09-25T07:47:48.953Z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