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ds-mssj7wqjep5aer6cp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апреля 2025 года № 227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w:t>
      </w:r>
      <w:r>
        <w:rPr>
          <w:rFonts w:ascii="Arial" w:cs="Arial" w:eastAsia="Arial" w:hAnsi="Arial"/>
          <w:sz w:val="24"/>
          <w:szCs w:val="24"/>
        </w:rPr>
        <w:t xml:space="preserve">тверждено </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ИНСТРУКЦИЯ</w:t>
      </w:r>
    </w:p>
    <w:p>
      <w:pPr>
        <w:spacing w:after="240" w:before="200"/>
        <w:jc w:val="center"/>
      </w:pPr>
      <w:r>
        <w:rPr>
          <w:rFonts w:ascii="Arial" w:cs="Arial" w:eastAsia="Arial" w:hAnsi="Arial"/>
          <w:b/>
          <w:bCs/>
          <w:sz w:val="32"/>
          <w:szCs w:val="32"/>
        </w:rPr>
        <w:t xml:space="preserve">по применению тарифов на электрическую энергию</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w:t>
      </w:r>
      <w:hyperlink w:history="1" r:id="rIdjvuvwn78lkldobbvdrtz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12 декабря 2023 года № 665)</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Настоящая Инструкция определяет порядок применения тарифов на электрическую энергию, утвержденных к применению уполномоченным органом по регулированию топливно-энергетического комплекса в рамках реализации Среднесрочной тарифной политики на электрическую энергию (далее - ССТП), а также определяет перечень потребителей, к которым применяются установленные тарифы.</w:t>
      </w:r>
    </w:p>
    <w:p>
      <w:pPr>
        <w:spacing w:after="120"/>
        <w:ind w:firstLine="397"/>
        <w:jc w:val="both"/>
      </w:pPr>
      <w:r>
        <w:rPr>
          <w:rFonts w:ascii="Arial" w:cs="Arial" w:eastAsia="Arial" w:hAnsi="Arial"/>
          <w:sz w:val="24"/>
          <w:szCs w:val="24"/>
        </w:rPr>
        <w:t xml:space="preserve">2. Уполномоченным государственным органом по регулированию топливно-энергетического комплекса является Департамент по регулированию топливно-энергетического комплекса при Министерстве энергетики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Сфера применения тарифов</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Порядок применения тарифов, устанавливаемый настоящей Инструкцией, распространяется на электрическую энергию, вырабатываемую, передаваемую, распределяемую и отпускаемую конечным потребителям электроснабжающими организациями на всей территории Кыргызской Республики.</w:t>
      </w:r>
    </w:p>
    <w:p>
      <w:pPr>
        <w:spacing w:after="120"/>
        <w:ind w:firstLine="397"/>
        <w:jc w:val="both"/>
      </w:pPr>
      <w:r>
        <w:rPr>
          <w:rFonts w:ascii="Arial" w:cs="Arial" w:eastAsia="Arial" w:hAnsi="Arial"/>
          <w:sz w:val="24"/>
          <w:szCs w:val="24"/>
        </w:rPr>
        <w:t xml:space="preserve">4. Применение установленных тарифов на электрическую энергию осуществляется в течение срока, предусмотренного сроком реализации ССТП.</w:t>
      </w:r>
    </w:p>
    <w:p>
      <w:pPr>
        <w:spacing w:after="120"/>
        <w:ind w:firstLine="397"/>
        <w:jc w:val="both"/>
      </w:pPr>
      <w:r>
        <w:rPr>
          <w:rFonts w:ascii="Arial" w:cs="Arial" w:eastAsia="Arial" w:hAnsi="Arial"/>
          <w:sz w:val="24"/>
          <w:szCs w:val="24"/>
        </w:rPr>
        <w:t xml:space="preserve">5. Электроснабжающая организация устанавливает тарифную группу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120"/>
        <w:ind w:firstLine="397"/>
        <w:jc w:val="both"/>
      </w:pPr>
      <w:r>
        <w:rPr>
          <w:rFonts w:ascii="Arial" w:cs="Arial" w:eastAsia="Arial" w:hAnsi="Arial"/>
          <w:sz w:val="24"/>
          <w:szCs w:val="24"/>
        </w:rPr>
        <w:t xml:space="preserve">Перечень предоставляемых документов определяется электроснабжающей организацией.</w:t>
      </w:r>
    </w:p>
    <w:p>
      <w:pPr>
        <w:spacing w:after="120"/>
        <w:ind w:firstLine="397"/>
        <w:jc w:val="both"/>
      </w:pPr>
      <w:r>
        <w:rPr>
          <w:rFonts w:ascii="Arial" w:cs="Arial" w:eastAsia="Arial" w:hAnsi="Arial"/>
          <w:sz w:val="24"/>
          <w:szCs w:val="24"/>
        </w:rPr>
        <w:t xml:space="preserve">6. Электроснабжающая организация применяет тарифную группу потребителей - "Население", малообеспеченные семьи, получающие ежемесячное пособие нуждающимся гражданам (семьям), имеющим детей до 16 лет, - "уй-булого комок", на основании списка, представляемого соответствующим уполномоченным государственным органом в сфере труда, социального обеспечения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Виды тарифов</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Настоящей Инструкцией регулируется порядок применения следующих видов тарифов, при оплате одного киловатт-часа (кВт.ч) отпущенной потребителям активной электрической энергии:</w:t>
      </w:r>
    </w:p>
    <w:p>
      <w:pPr>
        <w:spacing w:after="120"/>
        <w:ind w:firstLine="397"/>
        <w:jc w:val="both"/>
      </w:pPr>
      <w:r>
        <w:rPr>
          <w:rFonts w:ascii="Arial" w:cs="Arial" w:eastAsia="Arial" w:hAnsi="Arial"/>
          <w:sz w:val="24"/>
          <w:szCs w:val="24"/>
        </w:rPr>
        <w:t xml:space="preserve">1) тариф для группы потребителей "Население" применяется в размере, указанном в подпункте 1.1 </w:t>
      </w:r>
      <w:hyperlink w:history="1" r:id="rIdwe8nvahzr-ixbndm0ovxp">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2) тариф для группы потребителей "Население" (кроме населения, проживающего в высокогорных и отдаленных труднодоступных зонах) при потреблении электроэнергии свыше 700 кВт.ч за месяц применяется в размере, указанном в подпункте 1.2 </w:t>
      </w:r>
      <w:hyperlink w:history="1" r:id="rIddpr0ajby95o392euqwshs">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3) тариф для группы потребителей "Население", проживающих в высокогорных и отдаленных труднодоступных зонах, применяется в размере, указанном в подпункте 1.3 </w:t>
      </w:r>
      <w:hyperlink w:history="1" r:id="rIdvvzu6jipiq86ly86uiwe1">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4) тариф для группы потребителей "Население", малообеспеченные семьи, получающие ежемесячное пособие нуждающимся гражданам (семьям), имеющим детей до 16 лет, - "уй-булого комок" (включая население, проживающее в высокогорных и отдаленных труднодоступных зонах), при потреблении электроэнергии до 700 кВт.ч в месяц применяется в размере, указанном в подпункте 1.4 </w:t>
      </w:r>
      <w:hyperlink w:history="1" r:id="rIdvc9pdcfjmtaadjeuhlyq7">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5) тариф для группы потребителей "Население", малообеспеченные семьи, получающие ежемесячное пособие нуждающимся гражданам (семьям), имеющим детей до 16 лет, - "уй-булого комок", при потреблении электроэнергии свыше 700 кВт.ч в месяц применяется в размере, указанном в подпункте 1.5 </w:t>
      </w:r>
      <w:hyperlink w:history="1" r:id="rIdvsqv5kojnf_o9yzpqemkf">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6) тариф для группы потребителей "Население", малообеспеченные семьи, получающие ежемесячное пособие нуждающимся гражданам (семьям), имеющим детей до 16 лет, - "уй-булого комок", проживающие в высокогорных и отдаленных труднодоступных зонах, при потреблении электроэнергии свыше 700 кВт.ч в месяц применяется в размере, указанном в подпункте 1.3 </w:t>
      </w:r>
      <w:hyperlink w:history="1" r:id="rIdsyxirdcl83rtmnvtsgjsz">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7) Тариф для группы потребителей "Население, использующее электроэнергию без ограничения потребления и мощности" применяется в размере, указанном в подпункте 1.6 </w:t>
      </w:r>
      <w:hyperlink w:history="1" r:id="rIdorykcjk6-h-toahewwcf-">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8) тарифы для группы потребителей "Население" Токтогульского района Джалал-Абадской области и села Жазы-Кечуу города Кара-Куль и города Кара-Куль:</w:t>
      </w:r>
    </w:p>
    <w:p>
      <w:pPr>
        <w:spacing w:after="120"/>
        <w:ind w:firstLine="397"/>
        <w:jc w:val="both"/>
      </w:pPr>
      <w:r>
        <w:rPr>
          <w:rFonts w:ascii="Arial" w:cs="Arial" w:eastAsia="Arial" w:hAnsi="Arial"/>
          <w:sz w:val="24"/>
          <w:szCs w:val="24"/>
        </w:rPr>
        <w:t xml:space="preserve">- при потреблении до 150 кВт.ч в месяц применяется в размере, указанном в подпункте 1.1 </w:t>
      </w:r>
      <w:hyperlink w:history="1" r:id="rIdmpvqx4dxaw5ed8r3gl6ww">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 при потреблении электроэнергии свыше 150 кВт.ч до 700 кВт.ч в месяц (кроме населения, проживающего в высокогорных и отдаленных труднодоступных зонах, а также малообеспеченные семьи, получающие ежемесячное пособие нуждающимся гражданам (семьям), имеющим детей до 16 лет, - "уй-булого комок") применяется в размере, указанном в подпункте 1.2 </w:t>
      </w:r>
      <w:hyperlink w:history="1" r:id="rId5t_pjy9jtnj9ak7j0kjoa">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 при потреблении электроэнергии свыше 700 кВт.ч в месяц (кроме населения, проживающего в высокогорных и отдаленных труднодоступных зонах) применяется в размере, указанном в подпункте 1.3 </w:t>
      </w:r>
      <w:hyperlink w:history="1" r:id="rIdmd1rneeksvxx_enlpo4gj">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 для проживающих в высокогорных и отдаленных труднодоступных зонах применяется в размере, указанном в подпункте 1.4 </w:t>
      </w:r>
      <w:hyperlink w:history="1" r:id="rIdhonv9fcpx9eh9lolyjaai">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 для малообеспеченных семей, получающих ежемесячное пособие нуждающимся гражданам (семьям), имеющим детей до 16 лет, - "уй-булого комок", при потреблении электроэнергии свыше 150 кВт.ч до 700 кВт.ч в месяц применяется в размере, указанном в подпункте 1.5 </w:t>
      </w:r>
      <w:hyperlink w:history="1" r:id="rIdnpmhlyjlw_lkkdadiccpw">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 для малообеспеченных семей, получающих ежемесячное пособие нуждающимся гражданам (семьям), имеющим детей до 16 лет, - "уй-булого комок", проживающих в высокогорных и отдаленных труднодоступных зонах, при потреблении электроэнергии свыше 700 кВт.ч в месяц применяется в размере, указанном в подпункте 1.4 </w:t>
      </w:r>
      <w:hyperlink w:history="1" r:id="rIdl_a27stbjkjdp1t1c0609">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9) тариф для группы потребителей "Население, использующее электроэнергию без ограничения потребления и мощности" применяется в размере, указанном в подпункте 1.6 </w:t>
      </w:r>
      <w:hyperlink w:history="1" r:id="rIdon3_ojbnqmbt3r6tfrsx7">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10) социально-ориентированный тариф для группы потребителей "Насосные станции" применяется в размере, указанном в пункте 2 </w:t>
      </w:r>
      <w:hyperlink w:history="1" r:id="rIdi6r4nbjplklmf0em5_phc">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11) тарифы для групп потребителей "Электрический транспорт", "Детские учреждения интернатного типа, социальные стационарные и полустационарные учреждения для инвалидов и/или пожилых граждан", "Религиозные организации" применяются в размерах, указанных в пунктах 3, 4 и 5 </w:t>
      </w:r>
      <w:hyperlink w:history="1" r:id="rId5toefe48ph0wb0drpb5f8">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12) тарифы для остальных групп небытовых потребителей, за исключением групп потребителей "Майнинг (криптовалюта)", "Золоторудная промышленность", "Литейное производство", "Цементное производство" и "Алкогольная промышленность", применяются в размерах, указанных в пунктах 6, 7, 8, 9 </w:t>
      </w:r>
      <w:hyperlink w:history="1" r:id="rIdjta38r_dv3qvgffwc76em">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13) тариф для группы потребителей "Майнинг (криптовалюта)" применяется в размере, указанном в пункте 10 </w:t>
      </w:r>
      <w:hyperlink w:history="1" r:id="rIdpkvlrgj3xanwrmbttcylr">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14) тариф для группы потребителей "Золоторудная промышленность" применяется в размере, указанном в пункте 11 </w:t>
      </w:r>
      <w:hyperlink w:history="1" r:id="rIdvifjgq0mocmxl--5xsn1d">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15) тариф для группы потребителей "Литейное производство" применятся в размере, указанном в пункте 12 </w:t>
      </w:r>
      <w:hyperlink w:history="1" r:id="rIdupailzdihs-peou7hwmfa">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16) тариф для группы потребителей "Алкогольная промышленность" применяется в размере, указанном в пункте 13 </w:t>
      </w:r>
      <w:hyperlink w:history="1" r:id="rIdwr_a9rnd0qwyxledb0by7">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17) тариф для группы потребителей "Цементное производство" применяется в размере, указанном в пункте 14 </w:t>
      </w:r>
      <w:hyperlink w:history="1" r:id="rIdannvukkmpji_jtipkest6">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8. Тарифы, дифференцированные по времени суток, применяются электроснабжающими организациями на основании показаний зарегистрированных систем и приборов учета, позволяющих осуществлять учет электроэнергии в соответствии с режимом потребления по времени суток.</w:t>
      </w:r>
    </w:p>
    <w:p>
      <w:pPr>
        <w:spacing w:after="120"/>
        <w:ind w:firstLine="397"/>
        <w:jc w:val="both"/>
      </w:pPr>
      <w:r>
        <w:rPr>
          <w:rFonts w:ascii="Arial" w:cs="Arial" w:eastAsia="Arial" w:hAnsi="Arial"/>
          <w:sz w:val="24"/>
          <w:szCs w:val="24"/>
        </w:rPr>
        <w:t xml:space="preserve">Дифференцированный тариф определяет стоимость 1-го кВт.ч активной энергии, потребленной в соответствии с установленным для каждого временного периода суток коэффициентом.</w:t>
      </w:r>
    </w:p>
    <w:p>
      <w:pPr>
        <w:spacing w:after="120"/>
        <w:ind w:firstLine="397"/>
        <w:jc w:val="both"/>
      </w:pPr>
      <w:r>
        <w:rPr>
          <w:rFonts w:ascii="Arial" w:cs="Arial" w:eastAsia="Arial" w:hAnsi="Arial"/>
          <w:sz w:val="24"/>
          <w:szCs w:val="24"/>
        </w:rPr>
        <w:t xml:space="preserve">Назначение тарифа, дифференцированного по времени суток, - выравнивание суточного графика нагрузки энергосистемы.</w:t>
      </w:r>
    </w:p>
    <w:p>
      <w:pPr>
        <w:spacing w:after="120"/>
        <w:ind w:firstLine="397"/>
        <w:jc w:val="both"/>
      </w:pPr>
      <w:r>
        <w:rPr>
          <w:rFonts w:ascii="Arial" w:cs="Arial" w:eastAsia="Arial" w:hAnsi="Arial"/>
          <w:sz w:val="24"/>
          <w:szCs w:val="24"/>
        </w:rPr>
        <w:t xml:space="preserve">9. Тарифы на электроэнергию, дифференцированные по времени суток, применяются электроснабжающими организациями для потребителей группы "Население", имеющих зарегистрированные системы и приборы автоматизированной информационно-измерительной системы коммерческого учета электроэнергии (АИИСКУЭ), позволяющие осуществлять учет электроэнергии в соответствии с режимом потребления по времени суток.</w:t>
      </w:r>
    </w:p>
    <w:p>
      <w:pPr>
        <w:spacing w:after="120"/>
        <w:ind w:firstLine="397"/>
        <w:jc w:val="both"/>
      </w:pPr>
      <w:r>
        <w:rPr>
          <w:rFonts w:ascii="Arial" w:cs="Arial" w:eastAsia="Arial" w:hAnsi="Arial"/>
          <w:sz w:val="24"/>
          <w:szCs w:val="24"/>
        </w:rPr>
        <w:t xml:space="preserve">10. При наличии технической возможности у электроснабжающей организации потребитель (абонент) имеет право заключить с ней договор о применении дифференцированного тарифа на весь объем потребляемой электроэнергии при выполнении следующих условий:</w:t>
      </w:r>
    </w:p>
    <w:p>
      <w:pPr>
        <w:spacing w:after="120"/>
        <w:ind w:firstLine="397"/>
        <w:jc w:val="both"/>
      </w:pPr>
      <w:r>
        <w:rPr>
          <w:rFonts w:ascii="Arial" w:cs="Arial" w:eastAsia="Arial" w:hAnsi="Arial"/>
          <w:sz w:val="24"/>
          <w:szCs w:val="24"/>
        </w:rPr>
        <w:t xml:space="preserve">1) плата за весь объем потребленной электроэнергии начисляется по действующему в данный период времени тарифу, установленному на объем электроэнергии, превышающий объем потребления в 700 кВт.ч;</w:t>
      </w:r>
    </w:p>
    <w:p>
      <w:pPr>
        <w:spacing w:after="120"/>
        <w:ind w:firstLine="397"/>
        <w:jc w:val="both"/>
      </w:pPr>
      <w:r>
        <w:rPr>
          <w:rFonts w:ascii="Arial" w:cs="Arial" w:eastAsia="Arial" w:hAnsi="Arial"/>
          <w:sz w:val="24"/>
          <w:szCs w:val="24"/>
        </w:rPr>
        <w:t xml:space="preserve">2) потребитель обязуется оплачивать весь потребленный объем электроэнергии по указанным выше тарифам с применением установленных для каждого временного периода суток коэффициентов:</w:t>
      </w:r>
    </w:p>
    <w:p>
      <w:pPr>
        <w:spacing w:after="120"/>
        <w:ind w:firstLine="397"/>
        <w:jc w:val="both"/>
      </w:pPr>
      <w:r>
        <w:rPr>
          <w:rFonts w:ascii="Arial" w:cs="Arial" w:eastAsia="Arial" w:hAnsi="Arial"/>
          <w:sz w:val="24"/>
          <w:szCs w:val="24"/>
        </w:rPr>
        <w:t xml:space="preserve">- коэффициент для ночной зоны (с 23:00 до 07:00 часов) - 0,5;</w:t>
      </w:r>
    </w:p>
    <w:p>
      <w:pPr>
        <w:spacing w:after="120"/>
        <w:ind w:firstLine="397"/>
        <w:jc w:val="both"/>
      </w:pPr>
      <w:r>
        <w:rPr>
          <w:rFonts w:ascii="Arial" w:cs="Arial" w:eastAsia="Arial" w:hAnsi="Arial"/>
          <w:sz w:val="24"/>
          <w:szCs w:val="24"/>
        </w:rPr>
        <w:t xml:space="preserve">- коэффициент для дневной зоны с (07:00 до 23:00 часов) - 1,0.</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Группы потребителей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Все конечные потребители электрической энергии подразделяются на 14 тарифных групп по назначению потребляемой электроэнергии:</w:t>
      </w:r>
    </w:p>
    <w:p>
      <w:pPr>
        <w:spacing w:after="120"/>
        <w:ind w:firstLine="397"/>
        <w:jc w:val="both"/>
      </w:pPr>
      <w:r>
        <w:rPr>
          <w:rFonts w:ascii="Arial" w:cs="Arial" w:eastAsia="Arial" w:hAnsi="Arial"/>
          <w:sz w:val="24"/>
          <w:szCs w:val="24"/>
        </w:rPr>
        <w:t xml:space="preserve">1) группа "Население";</w:t>
      </w:r>
    </w:p>
    <w:p>
      <w:pPr>
        <w:spacing w:after="120"/>
        <w:ind w:firstLine="397"/>
        <w:jc w:val="both"/>
      </w:pPr>
      <w:r>
        <w:rPr>
          <w:rFonts w:ascii="Arial" w:cs="Arial" w:eastAsia="Arial" w:hAnsi="Arial"/>
          <w:sz w:val="24"/>
          <w:szCs w:val="24"/>
        </w:rPr>
        <w:t xml:space="preserve">2) группа "Насосные станции";</w:t>
      </w:r>
    </w:p>
    <w:p>
      <w:pPr>
        <w:spacing w:after="120"/>
        <w:ind w:firstLine="397"/>
        <w:jc w:val="both"/>
      </w:pPr>
      <w:r>
        <w:rPr>
          <w:rFonts w:ascii="Arial" w:cs="Arial" w:eastAsia="Arial" w:hAnsi="Arial"/>
          <w:sz w:val="24"/>
          <w:szCs w:val="24"/>
        </w:rPr>
        <w:t xml:space="preserve">3) группа "Электрический транспорт";</w:t>
      </w:r>
    </w:p>
    <w:p>
      <w:pPr>
        <w:spacing w:after="120"/>
        <w:ind w:firstLine="397"/>
        <w:jc w:val="both"/>
      </w:pPr>
      <w:r>
        <w:rPr>
          <w:rFonts w:ascii="Arial" w:cs="Arial" w:eastAsia="Arial" w:hAnsi="Arial"/>
          <w:sz w:val="24"/>
          <w:szCs w:val="24"/>
        </w:rPr>
        <w:t xml:space="preserve">4) группа "Детские учреждения интернатного типа, социальные стационарные и полустационарные учреждения для инвалидов и/или пожилых граждан";</w:t>
      </w:r>
    </w:p>
    <w:p>
      <w:pPr>
        <w:spacing w:after="120"/>
        <w:ind w:firstLine="397"/>
        <w:jc w:val="both"/>
      </w:pPr>
      <w:r>
        <w:rPr>
          <w:rFonts w:ascii="Arial" w:cs="Arial" w:eastAsia="Arial" w:hAnsi="Arial"/>
          <w:sz w:val="24"/>
          <w:szCs w:val="24"/>
        </w:rPr>
        <w:t xml:space="preserve">5) группа "Религиозные организации";</w:t>
      </w:r>
    </w:p>
    <w:p>
      <w:pPr>
        <w:spacing w:after="120"/>
        <w:ind w:firstLine="397"/>
        <w:jc w:val="both"/>
      </w:pPr>
      <w:r>
        <w:rPr>
          <w:rFonts w:ascii="Arial" w:cs="Arial" w:eastAsia="Arial" w:hAnsi="Arial"/>
          <w:sz w:val="24"/>
          <w:szCs w:val="24"/>
        </w:rPr>
        <w:t xml:space="preserve">6) группа "Бюджетные потребители (потребители, финансируемые из республиканского и/или местного бюджета)";</w:t>
      </w:r>
    </w:p>
    <w:p>
      <w:pPr>
        <w:spacing w:after="120"/>
        <w:ind w:firstLine="397"/>
        <w:jc w:val="both"/>
      </w:pPr>
      <w:r>
        <w:rPr>
          <w:rFonts w:ascii="Arial" w:cs="Arial" w:eastAsia="Arial" w:hAnsi="Arial"/>
          <w:sz w:val="24"/>
          <w:szCs w:val="24"/>
        </w:rPr>
        <w:t xml:space="preserve">7) группа "Сельское хозяйство";</w:t>
      </w:r>
    </w:p>
    <w:p>
      <w:pPr>
        <w:spacing w:after="120"/>
        <w:ind w:firstLine="397"/>
        <w:jc w:val="both"/>
      </w:pPr>
      <w:r>
        <w:rPr>
          <w:rFonts w:ascii="Arial" w:cs="Arial" w:eastAsia="Arial" w:hAnsi="Arial"/>
          <w:sz w:val="24"/>
          <w:szCs w:val="24"/>
        </w:rPr>
        <w:t xml:space="preserve">8) группа "Промышленность (промышленные и приравненные к ним потребители)";</w:t>
      </w:r>
    </w:p>
    <w:p>
      <w:pPr>
        <w:spacing w:after="120"/>
        <w:ind w:firstLine="397"/>
        <w:jc w:val="both"/>
      </w:pPr>
      <w:r>
        <w:rPr>
          <w:rFonts w:ascii="Arial" w:cs="Arial" w:eastAsia="Arial" w:hAnsi="Arial"/>
          <w:sz w:val="24"/>
          <w:szCs w:val="24"/>
        </w:rPr>
        <w:t xml:space="preserve">9) группа "Прочие потребители";</w:t>
      </w:r>
    </w:p>
    <w:p>
      <w:pPr>
        <w:spacing w:after="120"/>
        <w:ind w:firstLine="397"/>
        <w:jc w:val="both"/>
      </w:pPr>
      <w:r>
        <w:rPr>
          <w:rFonts w:ascii="Arial" w:cs="Arial" w:eastAsia="Arial" w:hAnsi="Arial"/>
          <w:sz w:val="24"/>
          <w:szCs w:val="24"/>
        </w:rPr>
        <w:t xml:space="preserve">10) группа "Майнинг (криптовалюта)";</w:t>
      </w:r>
    </w:p>
    <w:p>
      <w:pPr>
        <w:spacing w:after="120"/>
        <w:ind w:firstLine="397"/>
        <w:jc w:val="both"/>
      </w:pPr>
      <w:r>
        <w:rPr>
          <w:rFonts w:ascii="Arial" w:cs="Arial" w:eastAsia="Arial" w:hAnsi="Arial"/>
          <w:sz w:val="24"/>
          <w:szCs w:val="24"/>
        </w:rPr>
        <w:t xml:space="preserve">11) группа "Золоторудная промышленность";</w:t>
      </w:r>
    </w:p>
    <w:p>
      <w:pPr>
        <w:spacing w:after="120"/>
        <w:ind w:firstLine="397"/>
        <w:jc w:val="both"/>
      </w:pPr>
      <w:r>
        <w:rPr>
          <w:rFonts w:ascii="Arial" w:cs="Arial" w:eastAsia="Arial" w:hAnsi="Arial"/>
          <w:sz w:val="24"/>
          <w:szCs w:val="24"/>
        </w:rPr>
        <w:t xml:space="preserve">12) группа "Литейное производство";</w:t>
      </w:r>
    </w:p>
    <w:p>
      <w:pPr>
        <w:spacing w:after="120"/>
        <w:ind w:firstLine="397"/>
        <w:jc w:val="both"/>
      </w:pPr>
      <w:r>
        <w:rPr>
          <w:rFonts w:ascii="Arial" w:cs="Arial" w:eastAsia="Arial" w:hAnsi="Arial"/>
          <w:sz w:val="24"/>
          <w:szCs w:val="24"/>
        </w:rPr>
        <w:t xml:space="preserve">13) группа "Алкогольная промышленность";</w:t>
      </w:r>
    </w:p>
    <w:p>
      <w:pPr>
        <w:spacing w:after="120"/>
        <w:ind w:firstLine="397"/>
        <w:jc w:val="both"/>
      </w:pPr>
      <w:r>
        <w:rPr>
          <w:rFonts w:ascii="Arial" w:cs="Arial" w:eastAsia="Arial" w:hAnsi="Arial"/>
          <w:sz w:val="24"/>
          <w:szCs w:val="24"/>
        </w:rPr>
        <w:t xml:space="preserve">14) группа "Цементное производство".</w:t>
      </w:r>
    </w:p>
    <w:p>
      <w:pPr>
        <w:spacing w:after="120"/>
        <w:ind w:firstLine="397"/>
        <w:jc w:val="both"/>
      </w:pPr>
      <w:r>
        <w:rPr>
          <w:rFonts w:ascii="Arial" w:cs="Arial" w:eastAsia="Arial" w:hAnsi="Arial"/>
          <w:sz w:val="24"/>
          <w:szCs w:val="24"/>
        </w:rPr>
        <w:t xml:space="preserve">12. Все группы потребителей, не относящиеся к группе "Население", относятся к небытовым потребителям.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Применение тарифов на электрическую энергию, отпускаемую группе "Население"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Отпуск электрической энергии населению производится по тарифам, установленным уполномоченным государственным органом по регулированию топливно-энергетического комплекса, независимо от характера и объемов использования электрической энергии.</w:t>
      </w:r>
    </w:p>
    <w:p>
      <w:pPr>
        <w:spacing w:after="120"/>
        <w:ind w:firstLine="397"/>
        <w:jc w:val="both"/>
      </w:pPr>
      <w:r>
        <w:rPr>
          <w:rFonts w:ascii="Arial" w:cs="Arial" w:eastAsia="Arial" w:hAnsi="Arial"/>
          <w:sz w:val="24"/>
          <w:szCs w:val="24"/>
        </w:rPr>
        <w:t xml:space="preserve">14. По указанным тарифам начисляется плата за электрическую энергию, расходуемую населением, проживающим в жилых помещениях, домах и квартирах, для различных бытовых нужд, а также за электрическую энергию, отпускаемую дачным и садоводческим товариществам.</w:t>
      </w:r>
    </w:p>
    <w:p>
      <w:pPr>
        <w:spacing w:after="120"/>
        <w:ind w:firstLine="397"/>
        <w:jc w:val="both"/>
      </w:pPr>
      <w:r>
        <w:rPr>
          <w:rFonts w:ascii="Arial" w:cs="Arial" w:eastAsia="Arial" w:hAnsi="Arial"/>
          <w:sz w:val="24"/>
          <w:szCs w:val="24"/>
        </w:rPr>
        <w:t xml:space="preserve">15. По тарифам, установленным для группы потребителей "Население", также начисляется оплата потребителям, сдающим в аренду отдыхающим и временно-проживающим жилые дома и помещения (гостевые дома), на время отсутствия отдыхающих и временно-проживающих (при прекращении туристического сезона). Электроснабжающая организация должна заключить с таким абонентом контракт, в котором должны быть указаны сроки и длительность сдачи жилых домов и помещений в аренду.</w:t>
      </w:r>
    </w:p>
    <w:p>
      <w:pPr>
        <w:spacing w:after="120"/>
        <w:ind w:firstLine="397"/>
        <w:jc w:val="both"/>
      </w:pPr>
      <w:r>
        <w:rPr>
          <w:rFonts w:ascii="Arial" w:cs="Arial" w:eastAsia="Arial" w:hAnsi="Arial"/>
          <w:sz w:val="24"/>
          <w:szCs w:val="24"/>
        </w:rPr>
        <w:t xml:space="preserve">При этом, если снимающими в аренду жилье или временно-проживающими являются малообеспеченные семьи, получающие ежемесячное пособие нуждающимся гражданам (семьям), имеющим детей до 16 лет, - "уй-булого комок", которые не имеют договора (контракта) с электроснабжающей организацией, применяется тариф, указанный в подпункте 1.4 </w:t>
      </w:r>
      <w:hyperlink w:history="1" r:id="rId8pddqvfiaki1jneoui1vf">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 При этом не требуется заключение отдельного договора.</w:t>
      </w:r>
    </w:p>
    <w:p>
      <w:pPr>
        <w:spacing w:after="120"/>
        <w:ind w:firstLine="397"/>
        <w:jc w:val="both"/>
      </w:pPr>
      <w:r>
        <w:rPr>
          <w:rFonts w:ascii="Arial" w:cs="Arial" w:eastAsia="Arial" w:hAnsi="Arial"/>
          <w:sz w:val="24"/>
          <w:szCs w:val="24"/>
        </w:rPr>
        <w:t xml:space="preserve">16. Для населения действует социально-ориентированный тариф при потреблении электроэнергии в пределах гарантированного объема льготного потребления электроэнергии в месяц в размере 700 кВт.ч (за исключением населения, проживающего в высокогорных и отдаленных труднодоступных зонах). Плата за электроэнергию в пределах гарантированного объема льготного потребления рассчитывается отдельной строкой в счетах на оплату, выставленных электроснабжающей организацией потребителю.</w:t>
      </w:r>
    </w:p>
    <w:p>
      <w:pPr>
        <w:spacing w:after="120"/>
        <w:ind w:firstLine="397"/>
        <w:jc w:val="both"/>
      </w:pPr>
      <w:r>
        <w:rPr>
          <w:rFonts w:ascii="Arial" w:cs="Arial" w:eastAsia="Arial" w:hAnsi="Arial"/>
          <w:sz w:val="24"/>
          <w:szCs w:val="24"/>
        </w:rPr>
        <w:t xml:space="preserve">17. При расчетах объемов потребления электроэнергии в месяц необходимо исходить из среднесуточного потребления абонентом электроэнергии, которое составляет:</w:t>
      </w:r>
    </w:p>
    <w:p>
      <w:pPr>
        <w:spacing w:after="120"/>
        <w:ind w:firstLine="397"/>
        <w:jc w:val="both"/>
      </w:pPr>
      <w:r>
        <w:rPr>
          <w:rFonts w:ascii="Arial" w:cs="Arial" w:eastAsia="Arial" w:hAnsi="Arial"/>
          <w:sz w:val="24"/>
          <w:szCs w:val="24"/>
        </w:rPr>
        <w:t xml:space="preserve">700 кВт.ч * 12 мес. / 365 дней = 23,014 кВт.ч.</w:t>
      </w:r>
    </w:p>
    <w:p>
      <w:pPr>
        <w:spacing w:after="120"/>
        <w:ind w:firstLine="397"/>
        <w:jc w:val="both"/>
      </w:pPr>
      <w:r>
        <w:rPr>
          <w:rFonts w:ascii="Arial" w:cs="Arial" w:eastAsia="Arial" w:hAnsi="Arial"/>
          <w:sz w:val="24"/>
          <w:szCs w:val="24"/>
        </w:rPr>
        <w:t xml:space="preserve">18. Для населения, проживающего в высокогорных и отдаленных труднодоступных зонах, круглый год действует социально-ориентированный тариф на всю потребленную электрическую энергию.</w:t>
      </w:r>
    </w:p>
    <w:p>
      <w:pPr>
        <w:spacing w:after="120"/>
        <w:ind w:firstLine="397"/>
        <w:jc w:val="both"/>
      </w:pPr>
      <w:r>
        <w:rPr>
          <w:rFonts w:ascii="Arial" w:cs="Arial" w:eastAsia="Arial" w:hAnsi="Arial"/>
          <w:sz w:val="24"/>
          <w:szCs w:val="24"/>
        </w:rPr>
        <w:t xml:space="preserve">19. Тариф для группы потребителей "Население", малообеспеченные семьи, получающие ежемесячное пособие нуждающимся гражданам (семьям), имеющим детей до 16 лет, - "уй-булого комок", действует по месту жительства/пребывания этих лиц с первого числа месяца, следующего за месяцем представления соответствующих списков, и прекращается с первого числа месяца, следующего за месяцем, в котором были прекращены выплаты.</w:t>
      </w:r>
    </w:p>
    <w:p>
      <w:pPr>
        <w:spacing w:after="120"/>
        <w:ind w:firstLine="397"/>
        <w:jc w:val="both"/>
      </w:pPr>
      <w:r>
        <w:rPr>
          <w:rFonts w:ascii="Arial" w:cs="Arial" w:eastAsia="Arial" w:hAnsi="Arial"/>
          <w:sz w:val="24"/>
          <w:szCs w:val="24"/>
        </w:rPr>
        <w:t xml:space="preserve">При изменении места жительства/пребывания срок действия тарифа:</w:t>
      </w:r>
    </w:p>
    <w:p>
      <w:pPr>
        <w:spacing w:after="120"/>
        <w:ind w:firstLine="397"/>
        <w:jc w:val="both"/>
      </w:pPr>
      <w:r>
        <w:rPr>
          <w:rFonts w:ascii="Arial" w:cs="Arial" w:eastAsia="Arial" w:hAnsi="Arial"/>
          <w:sz w:val="24"/>
          <w:szCs w:val="24"/>
        </w:rPr>
        <w:t xml:space="preserve">- по последнему месту жительства - прекращается с первого числа месяца, следующего за месяцем, в котором произошли такие изменения;</w:t>
      </w:r>
    </w:p>
    <w:p>
      <w:pPr>
        <w:spacing w:after="120"/>
        <w:ind w:firstLine="397"/>
        <w:jc w:val="both"/>
      </w:pPr>
      <w:r>
        <w:rPr>
          <w:rFonts w:ascii="Arial" w:cs="Arial" w:eastAsia="Arial" w:hAnsi="Arial"/>
          <w:sz w:val="24"/>
          <w:szCs w:val="24"/>
        </w:rPr>
        <w:t xml:space="preserve">- по новому месту жительства - начинается с первого числа месяца, следующего за месяцем, в течение которого абонент начал проживание.</w:t>
      </w:r>
    </w:p>
    <w:p>
      <w:pPr>
        <w:spacing w:after="120"/>
        <w:ind w:firstLine="397"/>
        <w:jc w:val="both"/>
      </w:pPr>
      <w:r>
        <w:rPr>
          <w:rFonts w:ascii="Arial" w:cs="Arial" w:eastAsia="Arial" w:hAnsi="Arial"/>
          <w:sz w:val="24"/>
          <w:szCs w:val="24"/>
        </w:rPr>
        <w:t xml:space="preserve">Тариф для группы потребителей "Население", малообеспеченные семьи, получающие ежемесячное пособие нуждающимся гражданам (семьям), имеющим детей до 16 лет, - "уй-булого комок", действует по фактическому месту жительства/пребывания и не применяется в отношении двух или более адресов.</w:t>
      </w:r>
    </w:p>
    <w:p>
      <w:pPr>
        <w:spacing w:after="120"/>
        <w:ind w:firstLine="397"/>
        <w:jc w:val="both"/>
      </w:pPr>
      <w:r>
        <w:rPr>
          <w:rFonts w:ascii="Arial" w:cs="Arial" w:eastAsia="Arial" w:hAnsi="Arial"/>
          <w:sz w:val="24"/>
          <w:szCs w:val="24"/>
        </w:rPr>
        <w:t xml:space="preserve">Потребители, малообеспеченные семьи, получающие ежемесячное пособие нуждающимся гражданам (семьям), имеющим детей до 16 лет, - "уй-булого комок", не имеющие прямого договора с электроснабжающей организацией, представляют в электроснабжающую организацию лицевой счет абонента по месту жительства/пребывания.</w:t>
      </w:r>
    </w:p>
    <w:p>
      <w:pPr>
        <w:spacing w:after="120"/>
        <w:ind w:firstLine="397"/>
        <w:jc w:val="both"/>
      </w:pPr>
      <w:r>
        <w:rPr>
          <w:rFonts w:ascii="Arial" w:cs="Arial" w:eastAsia="Arial" w:hAnsi="Arial"/>
          <w:sz w:val="24"/>
          <w:szCs w:val="24"/>
        </w:rPr>
        <w:t xml:space="preserve">20. Тариф для группы потребителей "Население, использующее электроэнергию без ограничения потребления и мощности" (за исключением целей майнинга), применяется при наличии технической возможности у электроснабжающей организации и на добровольной основе бытовых потребителей. При этом в соответствии с заключенным с электроснабжающей организацией индивидуальным договором тариф применяется на весь объем потребляемой электроэнергии и норма потребления в 700 кВт.ч действовать не будет.</w:t>
      </w:r>
    </w:p>
    <w:p>
      <w:pPr>
        <w:spacing w:after="120"/>
        <w:ind w:firstLine="397"/>
        <w:jc w:val="both"/>
      </w:pPr>
      <w:r>
        <w:rPr>
          <w:rFonts w:ascii="Arial" w:cs="Arial" w:eastAsia="Arial" w:hAnsi="Arial"/>
          <w:sz w:val="24"/>
          <w:szCs w:val="24"/>
        </w:rPr>
        <w:t xml:space="preserve">21. Для группы потребителей "Население", в случае использования электроэнергии для зарядки электромобилей, не выдаются дополнительные технические условия и мощности, электроэнергия используется в пределах существующей (установленной) мощности.</w:t>
      </w:r>
    </w:p>
    <w:p>
      <w:pPr>
        <w:spacing w:after="120"/>
        <w:ind w:firstLine="397"/>
        <w:jc w:val="both"/>
      </w:pPr>
      <w:r>
        <w:rPr>
          <w:rFonts w:ascii="Arial" w:cs="Arial" w:eastAsia="Arial" w:hAnsi="Arial"/>
          <w:sz w:val="24"/>
          <w:szCs w:val="24"/>
        </w:rPr>
        <w:t xml:space="preserve">22. В случае, когда бытовой абонент использует электроэнергию в объеме, превышающем размер среднесуточного потребления в 23,014 кВт.ч, плата производится по тарифу, указанному в подпункте 1.2 </w:t>
      </w:r>
      <w:hyperlink w:history="1" r:id="rIdtokkp4kfud0nqbjr5ahzr">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 и в подпункте 1.3 </w:t>
      </w:r>
      <w:hyperlink w:history="1" r:id="rIdhzsx7v5kyia9azuvsmg2j">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 Стоимость электроэнергии, рассчитанная по этому тарифу указывается отдельной строкой в счетах на оплату, выставленных электроснабжающей организацией потребителю.</w:t>
      </w:r>
    </w:p>
    <w:p>
      <w:pPr>
        <w:spacing w:after="120"/>
        <w:ind w:firstLine="397"/>
        <w:jc w:val="both"/>
      </w:pPr>
      <w:r>
        <w:rPr>
          <w:rFonts w:ascii="Arial" w:cs="Arial" w:eastAsia="Arial" w:hAnsi="Arial"/>
          <w:sz w:val="24"/>
          <w:szCs w:val="24"/>
        </w:rPr>
        <w:t xml:space="preserve">23. Отпуск электроэнергии дачным и садоводческим товариществам, рассчитывающимся с электроснабжающими организациями по общему расчетному счетчику (и не являющимся потребителями-перепродавцами со смешанной нагрузкой), производится по тарифам, установленным для группы "Население".</w:t>
      </w:r>
    </w:p>
    <w:p>
      <w:pPr>
        <w:spacing w:after="120"/>
        <w:ind w:firstLine="397"/>
        <w:jc w:val="both"/>
      </w:pPr>
      <w:r>
        <w:rPr>
          <w:rFonts w:ascii="Arial" w:cs="Arial" w:eastAsia="Arial" w:hAnsi="Arial"/>
          <w:sz w:val="24"/>
          <w:szCs w:val="24"/>
        </w:rPr>
        <w:t xml:space="preserve">Фактическое количество индивидуальных бытовых потребителей в каждом дачном садоводческом обществе или товариществе фиксируется на основании инвентаризации с участием представителей лицензиата (электроснабжающей организации).</w:t>
      </w:r>
    </w:p>
    <w:p>
      <w:pPr>
        <w:spacing w:after="120"/>
        <w:ind w:firstLine="397"/>
        <w:jc w:val="both"/>
      </w:pPr>
      <w:r>
        <w:rPr>
          <w:rFonts w:ascii="Arial" w:cs="Arial" w:eastAsia="Arial" w:hAnsi="Arial"/>
          <w:sz w:val="24"/>
          <w:szCs w:val="24"/>
        </w:rPr>
        <w:t xml:space="preserve">При этом начисление производится сначала по первой ступени тарифа для группы "Население" на объем потребления электроэнергии в размере 700 кВт.ч, умноженного на количество бытовых потребителей. Затем производится начисление по фактическому расходу электроэнергии по показаниям прибора учета потребителя, за минусом начисления по первой ступени тарифа, определяется сумма оплаты по тарифу второй ступени для объема потребления выше 700 кВт.ч.</w:t>
      </w:r>
    </w:p>
    <w:p>
      <w:pPr>
        <w:spacing w:after="120"/>
        <w:ind w:firstLine="397"/>
        <w:jc w:val="both"/>
      </w:pPr>
      <w:r>
        <w:rPr>
          <w:rFonts w:ascii="Arial" w:cs="Arial" w:eastAsia="Arial" w:hAnsi="Arial"/>
          <w:sz w:val="24"/>
          <w:szCs w:val="24"/>
        </w:rPr>
        <w:t xml:space="preserve">24. Электрическая энергия, расходуемая дачными и садоводческими товариществами на полив (при условии, что насосная станция является коллективной), оплачивается отдельно по тарифу, установленному для группы потребителей "Насосные станции", обеспечивающих полив сельскохозяйственных угодий.</w:t>
      </w:r>
    </w:p>
    <w:p>
      <w:pPr>
        <w:spacing w:after="120"/>
        <w:ind w:firstLine="397"/>
        <w:jc w:val="both"/>
      </w:pPr>
      <w:r>
        <w:rPr>
          <w:rFonts w:ascii="Arial" w:cs="Arial" w:eastAsia="Arial" w:hAnsi="Arial"/>
          <w:sz w:val="24"/>
          <w:szCs w:val="24"/>
        </w:rPr>
        <w:t xml:space="preserve">25. Аналогичный алгоритм расчета применяется для всех небытовых абонентов, имеющих потребителей группы "Население", расчет производится по общему прибору учета (общежития, жилые дома гостиничного типа с общим учетом и так далее).</w:t>
      </w:r>
    </w:p>
    <w:p>
      <w:pPr>
        <w:spacing w:after="120"/>
        <w:ind w:firstLine="397"/>
        <w:jc w:val="both"/>
      </w:pPr>
      <w:r>
        <w:rPr>
          <w:rFonts w:ascii="Arial" w:cs="Arial" w:eastAsia="Arial" w:hAnsi="Arial"/>
          <w:sz w:val="24"/>
          <w:szCs w:val="24"/>
        </w:rPr>
        <w:t xml:space="preserve">26. Для группы физических лиц, рассчитывающихся за электроэнергию по одному головному учету и имеющих один лицевой счет, начисление платы за потребленную электроэнергию производится на основании инвентаризации, фиксирующей количество индивидуальных бытовых потребителей, присоединенных к общему головному учету. При этом, если в качестве одного и нескольких потребителей выступает малообеспеченная семья, получающая ежемесячное пособие нуждающимся гражданам (семьям), имеющим детей до 16 лет, - "уй-булого комок", идентификация такого потребителя производится на основании лицевого счета и списка, представляемого соответствующим уполномоченным государственным органом в сфере труда, социального обеспечения Кыргызской Республики.</w:t>
      </w:r>
    </w:p>
    <w:p>
      <w:pPr>
        <w:spacing w:after="120"/>
        <w:ind w:firstLine="397"/>
        <w:jc w:val="both"/>
      </w:pPr>
      <w:r>
        <w:rPr>
          <w:rFonts w:ascii="Arial" w:cs="Arial" w:eastAsia="Arial" w:hAnsi="Arial"/>
          <w:sz w:val="24"/>
          <w:szCs w:val="24"/>
        </w:rPr>
        <w:t xml:space="preserve">Начисление платы производится сначала по первой ступени тарифа для группы потребителей "Население" на объем потребления электроэнергии в размере 700 кВт.ч, умноженного на количество бытовых потребителей. Затем производится начисление по фактическому расходу электроэнергии по показаниям прибора учета потребителя, за минусом начисления по первой ступени тарифа, определяется сумма оплаты по тарифу второй ступени для объема потребления свыше 700 кВт.ч.</w:t>
      </w:r>
    </w:p>
    <w:p>
      <w:pPr>
        <w:spacing w:after="120"/>
        <w:ind w:firstLine="397"/>
        <w:jc w:val="both"/>
      </w:pPr>
      <w:r>
        <w:rPr>
          <w:rFonts w:ascii="Arial" w:cs="Arial" w:eastAsia="Arial" w:hAnsi="Arial"/>
          <w:sz w:val="24"/>
          <w:szCs w:val="24"/>
        </w:rPr>
        <w:t xml:space="preserve">27. Для потребителей, имеющих в своей собственности трансформаторные подстанции (ТП), линии электропередачи (ЛЭП) и рассчитывающихся по общему прибору учета, расположенному не на границе балансовой принадлежности, начисление производится по показаниям прибора учета и величине потерь в ТП и ЛЭП, принадлежащих потребителю. Начисление за потери в элементах сети потребителя производится по основному тарифу, применяемому к данному потребителю, а в случае подключения нескольких потребителей, относящихся к разным группам, - по наименьшему из применяемых к ним тарифам. В случаях, когда по головному учету рассчитываются потребители группы "Население", расчет за потери в элементах сети потребителя производится по первой ступени тарифа. Потери в сетях потребителя в объеме до 700 кВт.ч потребления электроэнергии каждого абонента не включаются.</w:t>
      </w:r>
    </w:p>
    <w:p>
      <w:pPr>
        <w:spacing w:after="120"/>
        <w:ind w:firstLine="397"/>
        <w:jc w:val="both"/>
      </w:pPr>
      <w:r>
        <w:rPr>
          <w:rFonts w:ascii="Arial" w:cs="Arial" w:eastAsia="Arial" w:hAnsi="Arial"/>
          <w:sz w:val="24"/>
          <w:szCs w:val="24"/>
        </w:rPr>
        <w:t xml:space="preserve">28. Для жителей коммунального сектора плата за потребление электроэнергии общего пользования (подъездное освещение, лифтовое электропотребление, повышающие и понижающие насосы и т.д.) производится по первой ступени тарифа для группы "Население" и не учитывается в объеме до 700 кВт.ч электроэнергии каждого абонента.</w:t>
      </w:r>
    </w:p>
    <w:p>
      <w:pPr>
        <w:spacing w:after="120"/>
        <w:ind w:firstLine="397"/>
        <w:jc w:val="both"/>
      </w:pPr>
      <w:r>
        <w:rPr>
          <w:rFonts w:ascii="Arial" w:cs="Arial" w:eastAsia="Arial" w:hAnsi="Arial"/>
          <w:sz w:val="24"/>
          <w:szCs w:val="24"/>
        </w:rPr>
        <w:t xml:space="preserve">29. Плата за электроэнергию, потребленную электрокотельными, обслуживающими коммунальный сектор и находящимися на балансе кондоминиумов, жилищно-строительных кооперативов, товариществ собственников жилья, производится по первой ступени тарифа, установленного для группы потребителей "Население" в размере 700 кВт.ч, плата за остальной объем рассчитывается по второй ступени для группы "Население".</w:t>
      </w:r>
    </w:p>
    <w:p>
      <w:pPr>
        <w:spacing w:after="120"/>
        <w:ind w:firstLine="397"/>
        <w:jc w:val="both"/>
      </w:pPr>
      <w:r>
        <w:rPr>
          <w:rFonts w:ascii="Arial" w:cs="Arial" w:eastAsia="Arial" w:hAnsi="Arial"/>
          <w:sz w:val="24"/>
          <w:szCs w:val="24"/>
        </w:rPr>
        <w:t xml:space="preserve">30. Электрическая энергия, потребленная жилыми многоквартирными домами, строительство которых не завершено и дома не сданы в эксплуатацию, оплачивается по тарифам, установленным для группы "Промышленность (промышленные и приравненные к ним потребители)".</w:t>
      </w:r>
    </w:p>
    <w:p>
      <w:pPr>
        <w:spacing w:after="120"/>
        <w:ind w:firstLine="397"/>
        <w:jc w:val="both"/>
      </w:pPr>
      <w:r>
        <w:rPr>
          <w:rFonts w:ascii="Arial" w:cs="Arial" w:eastAsia="Arial" w:hAnsi="Arial"/>
          <w:sz w:val="24"/>
          <w:szCs w:val="24"/>
        </w:rPr>
        <w:t xml:space="preserve">31. К группе конечных потребителей "Население" относятся жилые дома, квартиры, общежития квартирного типа, общежития учебных заведений школ-интернатов некоммерческого типа, казармы и общежития гарнизонов военизированных учреждений, следственные изоляторы исправительных учреждений и жилые зоны других министерств и ведомств.</w:t>
      </w:r>
    </w:p>
    <w:p>
      <w:pPr>
        <w:spacing w:after="120"/>
        <w:ind w:firstLine="397"/>
        <w:jc w:val="both"/>
      </w:pPr>
      <w:r>
        <w:rPr>
          <w:rFonts w:ascii="Arial" w:cs="Arial" w:eastAsia="Arial" w:hAnsi="Arial"/>
          <w:sz w:val="24"/>
          <w:szCs w:val="24"/>
        </w:rPr>
        <w:t xml:space="preserve">32. В случае использования электроэнергии населением не для бытовых целей (майнинг, швейное производство, гостиницы, магазины, офисы и др.) плата за электроэнергию производится по тарифу, соответствующему их виду деятельности.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Применение тарифов на электрическую энергию, отпускаемую группе "Насосные 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Отпуск электрической энергии для группы потребителей "Насосные станции" производится по социально-ориентированному тарифу в размере, указанном в пункте 2 </w:t>
      </w:r>
      <w:hyperlink w:history="1" r:id="rIdsyatcuesfkqa44pqy_b8k">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34. Отпуск электрической энергии для группы потребителей "Насосные станции" Токтогульского района Джалал-Абадской области и села Жазы-Кечуу г.Кара-Куль и г.Кара-Куль производится по социально-ориентированному тарифу в размере, указанном в пункте 2 </w:t>
      </w:r>
      <w:r>
        <w:rPr>
          <w:rFonts w:ascii="Arial" w:cs="Arial" w:eastAsia="Arial" w:hAnsi="Arial"/>
          <w:sz w:val="24"/>
          <w:szCs w:val="24"/>
        </w:rPr>
        <w:t xml:space="preserve">приложения 2</w:t>
      </w:r>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35. Начисление платы за электрическую энергию, потребленную насосными станциями, обеспечивающими полив сельскохозяйственных угодий и население питьевой водой, производится по тарифу, установленному уполномоченным государственным органом по регулированию топливно-энергетического комплекса для данной группы.</w:t>
      </w:r>
    </w:p>
    <w:p>
      <w:pPr>
        <w:spacing w:after="120"/>
        <w:ind w:firstLine="397"/>
        <w:jc w:val="both"/>
      </w:pPr>
      <w:r>
        <w:rPr>
          <w:rFonts w:ascii="Arial" w:cs="Arial" w:eastAsia="Arial" w:hAnsi="Arial"/>
          <w:sz w:val="24"/>
          <w:szCs w:val="24"/>
        </w:rPr>
        <w:t xml:space="preserve">36. К потребителям группы "Насосные станции" относятся следующие конечные потребители:</w:t>
      </w:r>
    </w:p>
    <w:p>
      <w:pPr>
        <w:spacing w:after="120"/>
        <w:ind w:firstLine="397"/>
        <w:jc w:val="both"/>
      </w:pPr>
      <w:r>
        <w:rPr>
          <w:rFonts w:ascii="Arial" w:cs="Arial" w:eastAsia="Arial" w:hAnsi="Arial"/>
          <w:sz w:val="24"/>
          <w:szCs w:val="24"/>
        </w:rPr>
        <w:t xml:space="preserve">1) насосные станции и скважины, обеспечивающие население питьевой водой;</w:t>
      </w:r>
    </w:p>
    <w:p>
      <w:pPr>
        <w:spacing w:after="120"/>
        <w:ind w:firstLine="397"/>
        <w:jc w:val="both"/>
      </w:pPr>
      <w:r>
        <w:rPr>
          <w:rFonts w:ascii="Arial" w:cs="Arial" w:eastAsia="Arial" w:hAnsi="Arial"/>
          <w:sz w:val="24"/>
          <w:szCs w:val="24"/>
        </w:rPr>
        <w:t xml:space="preserve">2) насосные станции и скважины, обеспечивающие полив сельскохозяйственных угодий;</w:t>
      </w:r>
    </w:p>
    <w:p>
      <w:pPr>
        <w:spacing w:after="120"/>
        <w:ind w:firstLine="397"/>
        <w:jc w:val="both"/>
      </w:pPr>
      <w:r>
        <w:rPr>
          <w:rFonts w:ascii="Arial" w:cs="Arial" w:eastAsia="Arial" w:hAnsi="Arial"/>
          <w:sz w:val="24"/>
          <w:szCs w:val="24"/>
        </w:rPr>
        <w:t xml:space="preserve">3) насосные станции и скважины предприятий водопроводно-канализационного хозяйства;</w:t>
      </w:r>
    </w:p>
    <w:p>
      <w:pPr>
        <w:spacing w:after="120"/>
        <w:ind w:firstLine="397"/>
        <w:jc w:val="both"/>
      </w:pPr>
      <w:r>
        <w:rPr>
          <w:rFonts w:ascii="Arial" w:cs="Arial" w:eastAsia="Arial" w:hAnsi="Arial"/>
          <w:sz w:val="24"/>
          <w:szCs w:val="24"/>
        </w:rPr>
        <w:t xml:space="preserve">4) насосные станции машинного орошения, оросительные каналы, скважины вертикального дренажа, капельное орошение.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7. Применение тарифов на электрическую энергию, отпускаемую группе "Электрический транспорт"</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Отпуск электрической энергии потребителям группы "Электрический транспорт" производится по установленным тарифам, независимо от типа ввода, характера использования электрической энергии.</w:t>
      </w:r>
    </w:p>
    <w:p>
      <w:pPr>
        <w:spacing w:after="120"/>
        <w:ind w:firstLine="397"/>
        <w:jc w:val="both"/>
      </w:pPr>
      <w:r>
        <w:rPr>
          <w:rFonts w:ascii="Arial" w:cs="Arial" w:eastAsia="Arial" w:hAnsi="Arial"/>
          <w:sz w:val="24"/>
          <w:szCs w:val="24"/>
        </w:rPr>
        <w:t xml:space="preserve">38. Плата для потребителей "муниципальные троллейбусные депо, а также пассажирские автотранспортные предприятия, использующие электрический транспорт (троллейбусы и электроавтобусы) для осуществления соответствующих услуг пассажирских перевозок" за потребленную электроэнергию производится по тарифу, указанному в пункте 3 </w:t>
      </w:r>
      <w:hyperlink w:history="1" r:id="rIdpjvk49qfblkkv6bzdxlvm">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39. Плата за потребленную электроэнергию для потребителей "Станции по зарядке электромобилей с установленной мощностью до 23 кВт" производится по тарифу, указанному в подпункте 3.1 </w:t>
      </w:r>
      <w:hyperlink w:history="1" r:id="rIdxf_yjlfg6gyqwqamx376w">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40. Плата за потребленную электроэнергию для потребителей "Станции по зарядке электромобилей, использующие электроэнергию без ограничения потребления и мощности" производится по тарифу, указанному в подпункте 3.2 </w:t>
      </w:r>
      <w:hyperlink w:history="1" r:id="rIdemgz8mlc2zj64z1i9tqne">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41. К потребителям группы "Электрический транспорт" относятся следующие конечные потребители:</w:t>
      </w:r>
    </w:p>
    <w:p>
      <w:pPr>
        <w:spacing w:after="120"/>
        <w:ind w:firstLine="397"/>
        <w:jc w:val="both"/>
      </w:pPr>
      <w:r>
        <w:rPr>
          <w:rFonts w:ascii="Arial" w:cs="Arial" w:eastAsia="Arial" w:hAnsi="Arial"/>
          <w:sz w:val="24"/>
          <w:szCs w:val="24"/>
        </w:rPr>
        <w:t xml:space="preserve">1) муниципальные троллейбусные депо, а также пассажирские автотранспортные предприятия, использующие электрический транспорт (троллейбусы и электроавтобусы) для осуществления соответствующих услуг пассажирских перевозок;</w:t>
      </w:r>
    </w:p>
    <w:p>
      <w:pPr>
        <w:spacing w:after="120"/>
        <w:ind w:firstLine="397"/>
        <w:jc w:val="both"/>
      </w:pPr>
      <w:r>
        <w:rPr>
          <w:rFonts w:ascii="Arial" w:cs="Arial" w:eastAsia="Arial" w:hAnsi="Arial"/>
          <w:sz w:val="24"/>
          <w:szCs w:val="24"/>
        </w:rPr>
        <w:t xml:space="preserve">2) станции по зарядке электромобилей.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Применение тарифов на электрическую энергию, отпускаемую группе "Детские учреждения интернатного типа, социальные стационарные и полустационарные учреждения</w:t>
      </w:r>
    </w:p>
    <w:p>
      <w:pPr>
        <w:spacing w:after="240" w:before="200"/>
        <w:jc w:val="center"/>
      </w:pPr>
      <w:r>
        <w:rPr>
          <w:rFonts w:ascii="Arial" w:cs="Arial" w:eastAsia="Arial" w:hAnsi="Arial"/>
          <w:b/>
          <w:bCs/>
          <w:sz w:val="32"/>
          <w:szCs w:val="32"/>
        </w:rPr>
        <w:t xml:space="preserve">для инвалидов и/или пожилых граждан"</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Отпуск электрической энергии для группы "Детские учреждения интернатного типа, социальные стационарные и полустационарные учреждения для инвалидов и/или пожилых граждан" производится по установленным тарифам, независимо от типа ввода, характера использования электрической энергии.</w:t>
      </w:r>
    </w:p>
    <w:p>
      <w:pPr>
        <w:spacing w:after="120"/>
        <w:ind w:firstLine="397"/>
        <w:jc w:val="both"/>
      </w:pPr>
      <w:r>
        <w:rPr>
          <w:rFonts w:ascii="Arial" w:cs="Arial" w:eastAsia="Arial" w:hAnsi="Arial"/>
          <w:sz w:val="24"/>
          <w:szCs w:val="24"/>
        </w:rPr>
        <w:t xml:space="preserve">43. Плата потребителями данной группы за потребленную электроэнергию производится по тарифу, указанному в пункте 4 </w:t>
      </w:r>
      <w:hyperlink w:history="1" r:id="rIdefkvi9cizmjrhzyiasoe1">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44. К потребителям группы "Детские учреждения интернатного типа, социальные стационарные и полустационарные учреждения для инвалидов и/или пожилых граждан" относятся учреждения, независимо от формы собственности, оказывающие услуги детям, находящимся в трудной жизненной ситуации, инвалидам и/или пожилым гражданам, а также некоммерческие организации, реализующие проекты в рамках государственного социального заказа.</w:t>
      </w:r>
    </w:p>
    <w:p>
      <w:pPr>
        <w:spacing w:after="120"/>
        <w:ind w:firstLine="397"/>
        <w:jc w:val="both"/>
      </w:pPr>
      <w:r>
        <w:rPr>
          <w:rFonts w:ascii="Arial" w:cs="Arial" w:eastAsia="Arial" w:hAnsi="Arial"/>
          <w:sz w:val="24"/>
          <w:szCs w:val="24"/>
        </w:rPr>
        <w:t xml:space="preserve">45. Потребители указанной в пункте 44 группы должны иметь свидетельство об аккредитации со стороны уполномоченного государственного органа в сфере социального развития, а также соответствовать одной из следующих характеристик:</w:t>
      </w:r>
    </w:p>
    <w:p>
      <w:pPr>
        <w:spacing w:after="120"/>
        <w:ind w:firstLine="397"/>
        <w:jc w:val="both"/>
      </w:pPr>
      <w:r>
        <w:rPr>
          <w:rFonts w:ascii="Arial" w:cs="Arial" w:eastAsia="Arial" w:hAnsi="Arial"/>
          <w:sz w:val="24"/>
          <w:szCs w:val="24"/>
        </w:rPr>
        <w:t xml:space="preserve">1) стационарные:</w:t>
      </w:r>
    </w:p>
    <w:p>
      <w:pPr>
        <w:spacing w:after="120"/>
        <w:ind w:firstLine="397"/>
        <w:jc w:val="both"/>
      </w:pPr>
      <w:r>
        <w:rPr>
          <w:rFonts w:ascii="Arial" w:cs="Arial" w:eastAsia="Arial" w:hAnsi="Arial"/>
          <w:sz w:val="24"/>
          <w:szCs w:val="24"/>
        </w:rPr>
        <w:t xml:space="preserve">- социальные стационарные учреждения для пожилых граждан и лиц с ограниченными возможностями здоровья;</w:t>
      </w:r>
    </w:p>
    <w:p>
      <w:pPr>
        <w:spacing w:after="120"/>
        <w:ind w:firstLine="397"/>
        <w:jc w:val="both"/>
      </w:pPr>
      <w:r>
        <w:rPr>
          <w:rFonts w:ascii="Arial" w:cs="Arial" w:eastAsia="Arial" w:hAnsi="Arial"/>
          <w:sz w:val="24"/>
          <w:szCs w:val="24"/>
        </w:rPr>
        <w:t xml:space="preserve">- социальные стационарные учреждения для детей с ограниченными возможностями здоровья;</w:t>
      </w:r>
    </w:p>
    <w:p>
      <w:pPr>
        <w:spacing w:after="120"/>
        <w:ind w:firstLine="397"/>
        <w:jc w:val="both"/>
      </w:pPr>
      <w:r>
        <w:rPr>
          <w:rFonts w:ascii="Arial" w:cs="Arial" w:eastAsia="Arial" w:hAnsi="Arial"/>
          <w:sz w:val="24"/>
          <w:szCs w:val="24"/>
        </w:rPr>
        <w:t xml:space="preserve">- социальные стационарные учреждения для детей-сирот и детей, оставшихся без попечения родителей;</w:t>
      </w:r>
    </w:p>
    <w:p>
      <w:pPr>
        <w:spacing w:after="120"/>
        <w:ind w:firstLine="397"/>
        <w:jc w:val="both"/>
      </w:pPr>
      <w:r>
        <w:rPr>
          <w:rFonts w:ascii="Arial" w:cs="Arial" w:eastAsia="Arial" w:hAnsi="Arial"/>
          <w:sz w:val="24"/>
          <w:szCs w:val="24"/>
        </w:rPr>
        <w:t xml:space="preserve">2) полустационарные:</w:t>
      </w:r>
    </w:p>
    <w:p>
      <w:pPr>
        <w:spacing w:after="120"/>
        <w:ind w:firstLine="397"/>
        <w:jc w:val="both"/>
      </w:pPr>
      <w:r>
        <w:rPr>
          <w:rFonts w:ascii="Arial" w:cs="Arial" w:eastAsia="Arial" w:hAnsi="Arial"/>
          <w:sz w:val="24"/>
          <w:szCs w:val="24"/>
        </w:rPr>
        <w:t xml:space="preserve">- центры социального обслуживания пожилых граждан, лиц с ограниченными возможностями здоровья и детей с ограниченными возможностями здоровья (отделения дневного пребывания);</w:t>
      </w:r>
    </w:p>
    <w:p>
      <w:pPr>
        <w:spacing w:after="120"/>
        <w:ind w:firstLine="397"/>
        <w:jc w:val="both"/>
      </w:pPr>
      <w:r>
        <w:rPr>
          <w:rFonts w:ascii="Arial" w:cs="Arial" w:eastAsia="Arial" w:hAnsi="Arial"/>
          <w:sz w:val="24"/>
          <w:szCs w:val="24"/>
        </w:rPr>
        <w:t xml:space="preserve">- социальные приюты для детей и подростков;</w:t>
      </w:r>
    </w:p>
    <w:p>
      <w:pPr>
        <w:spacing w:after="120"/>
        <w:ind w:firstLine="397"/>
        <w:jc w:val="both"/>
      </w:pPr>
      <w:r>
        <w:rPr>
          <w:rFonts w:ascii="Arial" w:cs="Arial" w:eastAsia="Arial" w:hAnsi="Arial"/>
          <w:sz w:val="24"/>
          <w:szCs w:val="24"/>
        </w:rPr>
        <w:t xml:space="preserve">- социально-реабилитационные центры для детей и иных категорий лиц с ограниченными возможностями здоровья;</w:t>
      </w:r>
    </w:p>
    <w:p>
      <w:pPr>
        <w:spacing w:after="120"/>
        <w:ind w:firstLine="397"/>
        <w:jc w:val="both"/>
      </w:pPr>
      <w:r>
        <w:rPr>
          <w:rFonts w:ascii="Arial" w:cs="Arial" w:eastAsia="Arial" w:hAnsi="Arial"/>
          <w:sz w:val="24"/>
          <w:szCs w:val="24"/>
        </w:rPr>
        <w:t xml:space="preserve">- центры социальной помощи детям;</w:t>
      </w:r>
    </w:p>
    <w:p>
      <w:pPr>
        <w:spacing w:after="120"/>
        <w:ind w:firstLine="397"/>
        <w:jc w:val="both"/>
      </w:pPr>
      <w:r>
        <w:rPr>
          <w:rFonts w:ascii="Arial" w:cs="Arial" w:eastAsia="Arial" w:hAnsi="Arial"/>
          <w:sz w:val="24"/>
          <w:szCs w:val="24"/>
        </w:rPr>
        <w:t xml:space="preserve">- приюты ночного пребывания;</w:t>
      </w:r>
    </w:p>
    <w:p>
      <w:pPr>
        <w:spacing w:after="120"/>
        <w:ind w:firstLine="397"/>
        <w:jc w:val="both"/>
      </w:pPr>
      <w:r>
        <w:rPr>
          <w:rFonts w:ascii="Arial" w:cs="Arial" w:eastAsia="Arial" w:hAnsi="Arial"/>
          <w:sz w:val="24"/>
          <w:szCs w:val="24"/>
        </w:rPr>
        <w:t xml:space="preserve">- геронтологические центры;</w:t>
      </w:r>
    </w:p>
    <w:p>
      <w:pPr>
        <w:spacing w:after="120"/>
        <w:ind w:firstLine="397"/>
        <w:jc w:val="both"/>
      </w:pPr>
      <w:r>
        <w:rPr>
          <w:rFonts w:ascii="Arial" w:cs="Arial" w:eastAsia="Arial" w:hAnsi="Arial"/>
          <w:sz w:val="24"/>
          <w:szCs w:val="24"/>
        </w:rPr>
        <w:t xml:space="preserve">- специальные дома для одиноких пожилых граждан;</w:t>
      </w:r>
    </w:p>
    <w:p>
      <w:pPr>
        <w:spacing w:after="120"/>
        <w:ind w:firstLine="397"/>
        <w:jc w:val="both"/>
      </w:pPr>
      <w:r>
        <w:rPr>
          <w:rFonts w:ascii="Arial" w:cs="Arial" w:eastAsia="Arial" w:hAnsi="Arial"/>
          <w:sz w:val="24"/>
          <w:szCs w:val="24"/>
        </w:rPr>
        <w:t xml:space="preserve">- центры помощи детям, оставшимся без попечения родителей;</w:t>
      </w:r>
    </w:p>
    <w:p>
      <w:pPr>
        <w:spacing w:after="120"/>
        <w:ind w:firstLine="397"/>
        <w:jc w:val="both"/>
      </w:pPr>
      <w:r>
        <w:rPr>
          <w:rFonts w:ascii="Arial" w:cs="Arial" w:eastAsia="Arial" w:hAnsi="Arial"/>
          <w:sz w:val="24"/>
          <w:szCs w:val="24"/>
        </w:rPr>
        <w:t xml:space="preserve">- центры помощи выпускникам детских домов (центры социальной адаптации);</w:t>
      </w:r>
    </w:p>
    <w:p>
      <w:pPr>
        <w:spacing w:after="120"/>
        <w:ind w:firstLine="397"/>
        <w:jc w:val="both"/>
      </w:pPr>
      <w:r>
        <w:rPr>
          <w:rFonts w:ascii="Arial" w:cs="Arial" w:eastAsia="Arial" w:hAnsi="Arial"/>
          <w:sz w:val="24"/>
          <w:szCs w:val="24"/>
        </w:rPr>
        <w:t xml:space="preserve">- убежище (центр временного пребывания для лиц, пострадавших от семейного насилия);</w:t>
      </w:r>
    </w:p>
    <w:p>
      <w:pPr>
        <w:spacing w:after="120"/>
        <w:ind w:firstLine="397"/>
        <w:jc w:val="both"/>
      </w:pPr>
      <w:r>
        <w:rPr>
          <w:rFonts w:ascii="Arial" w:cs="Arial" w:eastAsia="Arial" w:hAnsi="Arial"/>
          <w:sz w:val="24"/>
          <w:szCs w:val="24"/>
        </w:rPr>
        <w:t xml:space="preserve">- реабилитационные центры (социальные общежития) согласно статье 33 Закона Кыргызской Республики "О пробации";</w:t>
      </w:r>
    </w:p>
    <w:p>
      <w:pPr>
        <w:spacing w:after="120"/>
        <w:ind w:firstLine="397"/>
        <w:jc w:val="both"/>
      </w:pPr>
      <w:r>
        <w:rPr>
          <w:rFonts w:ascii="Arial" w:cs="Arial" w:eastAsia="Arial" w:hAnsi="Arial"/>
          <w:sz w:val="24"/>
          <w:szCs w:val="24"/>
        </w:rPr>
        <w:t xml:space="preserve">- семейный детский дом;</w:t>
      </w:r>
    </w:p>
    <w:p>
      <w:pPr>
        <w:spacing w:after="120"/>
        <w:ind w:firstLine="397"/>
        <w:jc w:val="both"/>
      </w:pPr>
      <w:r>
        <w:rPr>
          <w:rFonts w:ascii="Arial" w:cs="Arial" w:eastAsia="Arial" w:hAnsi="Arial"/>
          <w:sz w:val="24"/>
          <w:szCs w:val="24"/>
        </w:rPr>
        <w:t xml:space="preserve">3) детские учреждения интернатного типа, независимо от формы собственности, оказывающие услуги детям, находящимся в трудной жизненной ситуации, и предназначенные для круглосуточного пребывания детей.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Применение тарифов на электрическую энергию для группы "Религиозные организации"</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Отпуск электрической энергии потребителям группы "Религиозные организации" производится по установленным тарифам, независимо от типа ввода, характера использования электрической энергии.</w:t>
      </w:r>
    </w:p>
    <w:p>
      <w:pPr>
        <w:spacing w:after="120"/>
        <w:ind w:firstLine="397"/>
        <w:jc w:val="both"/>
      </w:pPr>
      <w:r>
        <w:rPr>
          <w:rFonts w:ascii="Arial" w:cs="Arial" w:eastAsia="Arial" w:hAnsi="Arial"/>
          <w:sz w:val="24"/>
          <w:szCs w:val="24"/>
        </w:rPr>
        <w:t xml:space="preserve">47. Плата потребителями данной группы за потребленную электроэнергию производится по тарифу, указанному в пункте 5 </w:t>
      </w:r>
      <w:hyperlink w:history="1" r:id="rIdpsjxcinls1vgw3v3wpsyk">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48. К потребителям группы "Религиозные организации" относятся: религиозные общества, центры, религиозные учебные заведения, мечети, церкви, синагоги, молитвенные дома, монастыри и другие организации, зарегистрированные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10. Применение тарифов на электрическую энергию для группы "Бюджетные потребители (потребители, финансируемые из республиканского и/или местного бюджета)"</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Отпуск электрической энергии группе "Бюджетные потребители (потребители, финансируемые из республиканского и/или местного бюджета)" производится по установленным тарифам, независимо от типа ввода, характера использования электрической энергии.</w:t>
      </w:r>
    </w:p>
    <w:p>
      <w:pPr>
        <w:spacing w:after="120"/>
        <w:ind w:firstLine="397"/>
        <w:jc w:val="both"/>
      </w:pPr>
      <w:r>
        <w:rPr>
          <w:rFonts w:ascii="Arial" w:cs="Arial" w:eastAsia="Arial" w:hAnsi="Arial"/>
          <w:sz w:val="24"/>
          <w:szCs w:val="24"/>
        </w:rPr>
        <w:t xml:space="preserve">50. Плата потребителями данной группы за потребленную электроэнергию производится по тарифу, указанному в пункте 6 </w:t>
      </w:r>
      <w:hyperlink w:history="1" r:id="rIddpfz4v_u4dbzpktfzq5vt">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51. При наличии у бюджетного потребителя общежития и подведомственных жилых домов, жилых домов и общежития казарменного и военно-служебного назначения с отдельным от основного потребителя прибором учета плата за электроэнергию, потребленную такими общежитиями и подведомственными домами, производится по тарифу для группы "Население".</w:t>
      </w:r>
    </w:p>
    <w:p>
      <w:pPr>
        <w:spacing w:after="120"/>
        <w:ind w:firstLine="397"/>
        <w:jc w:val="both"/>
      </w:pPr>
      <w:r>
        <w:rPr>
          <w:rFonts w:ascii="Arial" w:cs="Arial" w:eastAsia="Arial" w:hAnsi="Arial"/>
          <w:sz w:val="24"/>
          <w:szCs w:val="24"/>
        </w:rPr>
        <w:t xml:space="preserve">52. При наличии у бюджетного потребителя насосных станций с отдельным от основного потребителя прибором учета, плата за электроэнергию, потребленную такими насосными станциями, производится по тарифу для группы "Насосные станции".</w:t>
      </w:r>
    </w:p>
    <w:p>
      <w:pPr>
        <w:spacing w:after="120"/>
        <w:ind w:firstLine="397"/>
        <w:jc w:val="both"/>
      </w:pPr>
      <w:r>
        <w:rPr>
          <w:rFonts w:ascii="Arial" w:cs="Arial" w:eastAsia="Arial" w:hAnsi="Arial"/>
          <w:sz w:val="24"/>
          <w:szCs w:val="24"/>
        </w:rPr>
        <w:t xml:space="preserve">53. В случае сдачи бюджетными потребителями в аренду помещений с отдельным от основного потребителя прибором учета хозяйствующим субъектам, не являющимися бюджетными потребителями, плата за электроэнергию такими арендаторами производится по тарифу, соответствующему их виду деятельности.</w:t>
      </w:r>
    </w:p>
    <w:p>
      <w:pPr>
        <w:spacing w:after="120"/>
        <w:ind w:firstLine="397"/>
        <w:jc w:val="both"/>
      </w:pPr>
      <w:r>
        <w:rPr>
          <w:rFonts w:ascii="Arial" w:cs="Arial" w:eastAsia="Arial" w:hAnsi="Arial"/>
          <w:sz w:val="24"/>
          <w:szCs w:val="24"/>
        </w:rPr>
        <w:t xml:space="preserve">54. К потребителям, финансируемым из республиканского и/или местного бюджета, относятся:</w:t>
      </w:r>
    </w:p>
    <w:p>
      <w:pPr>
        <w:spacing w:after="120"/>
        <w:ind w:firstLine="397"/>
        <w:jc w:val="both"/>
      </w:pPr>
      <w:r>
        <w:rPr>
          <w:rFonts w:ascii="Arial" w:cs="Arial" w:eastAsia="Arial" w:hAnsi="Arial"/>
          <w:sz w:val="24"/>
          <w:szCs w:val="24"/>
        </w:rPr>
        <w:t xml:space="preserve">1) государственные учреждения;</w:t>
      </w:r>
    </w:p>
    <w:p>
      <w:pPr>
        <w:spacing w:after="120"/>
        <w:ind w:firstLine="397"/>
        <w:jc w:val="both"/>
      </w:pPr>
      <w:r>
        <w:rPr>
          <w:rFonts w:ascii="Arial" w:cs="Arial" w:eastAsia="Arial" w:hAnsi="Arial"/>
          <w:sz w:val="24"/>
          <w:szCs w:val="24"/>
        </w:rPr>
        <w:t xml:space="preserve">2) государственные больницы, поликлиники, профилактории, консультации, родильные дома, молочно-раздаточные пункты детского питания;</w:t>
      </w:r>
    </w:p>
    <w:p>
      <w:pPr>
        <w:spacing w:after="120"/>
        <w:ind w:firstLine="397"/>
        <w:jc w:val="both"/>
      </w:pPr>
      <w:r>
        <w:rPr>
          <w:rFonts w:ascii="Arial" w:cs="Arial" w:eastAsia="Arial" w:hAnsi="Arial"/>
          <w:sz w:val="24"/>
          <w:szCs w:val="24"/>
        </w:rPr>
        <w:t xml:space="preserve">3) государственные школы, высшие и средние профессиональные учебные заведения (техникумы, училища и другие учебные заведения);</w:t>
      </w:r>
    </w:p>
    <w:p>
      <w:pPr>
        <w:spacing w:after="120"/>
        <w:ind w:firstLine="397"/>
        <w:jc w:val="both"/>
      </w:pPr>
      <w:r>
        <w:rPr>
          <w:rFonts w:ascii="Arial" w:cs="Arial" w:eastAsia="Arial" w:hAnsi="Arial"/>
          <w:sz w:val="24"/>
          <w:szCs w:val="24"/>
        </w:rPr>
        <w:t xml:space="preserve">4) государственные детские сады и ясли, лагеря отдыха и другие детские учреждения;</w:t>
      </w:r>
    </w:p>
    <w:p>
      <w:pPr>
        <w:spacing w:after="120"/>
        <w:ind w:firstLine="397"/>
        <w:jc w:val="both"/>
      </w:pPr>
      <w:r>
        <w:rPr>
          <w:rFonts w:ascii="Arial" w:cs="Arial" w:eastAsia="Arial" w:hAnsi="Arial"/>
          <w:sz w:val="24"/>
          <w:szCs w:val="24"/>
        </w:rPr>
        <w:t xml:space="preserve">5) государственные киностудии, театры, концертные залы, кинотеатры, цирки и другие зрелищные предприятия;</w:t>
      </w:r>
    </w:p>
    <w:p>
      <w:pPr>
        <w:spacing w:after="120"/>
        <w:ind w:firstLine="397"/>
        <w:jc w:val="both"/>
      </w:pPr>
      <w:r>
        <w:rPr>
          <w:rFonts w:ascii="Arial" w:cs="Arial" w:eastAsia="Arial" w:hAnsi="Arial"/>
          <w:sz w:val="24"/>
          <w:szCs w:val="24"/>
        </w:rPr>
        <w:t xml:space="preserve">6) государственные музеи, выставки, библиотеки, читальни, лектории, планетарии, клубы, дома культуры и другие культурно-просветительные учреждения;</w:t>
      </w:r>
    </w:p>
    <w:p>
      <w:pPr>
        <w:spacing w:after="120"/>
        <w:ind w:firstLine="397"/>
        <w:jc w:val="both"/>
      </w:pPr>
      <w:r>
        <w:rPr>
          <w:rFonts w:ascii="Arial" w:cs="Arial" w:eastAsia="Arial" w:hAnsi="Arial"/>
          <w:sz w:val="24"/>
          <w:szCs w:val="24"/>
        </w:rPr>
        <w:t xml:space="preserve">7) государственные стадионы, ипподромы, плавательные бассейны, спортивные залы и другие спортивные сооружения;</w:t>
      </w:r>
    </w:p>
    <w:p>
      <w:pPr>
        <w:spacing w:after="120"/>
        <w:ind w:firstLine="397"/>
        <w:jc w:val="both"/>
      </w:pPr>
      <w:r>
        <w:rPr>
          <w:rFonts w:ascii="Arial" w:cs="Arial" w:eastAsia="Arial" w:hAnsi="Arial"/>
          <w:sz w:val="24"/>
          <w:szCs w:val="24"/>
        </w:rPr>
        <w:t xml:space="preserve">8) государственные ботанические сады, зоопарки;</w:t>
      </w:r>
    </w:p>
    <w:p>
      <w:pPr>
        <w:spacing w:after="120"/>
        <w:ind w:firstLine="397"/>
        <w:jc w:val="both"/>
      </w:pPr>
      <w:r>
        <w:rPr>
          <w:rFonts w:ascii="Arial" w:cs="Arial" w:eastAsia="Arial" w:hAnsi="Arial"/>
          <w:sz w:val="24"/>
          <w:szCs w:val="24"/>
        </w:rPr>
        <w:t xml:space="preserve">9) войсковые части со всеми службами, военно-учебные заведения со всеми их службами;</w:t>
      </w:r>
    </w:p>
    <w:p>
      <w:pPr>
        <w:spacing w:after="120"/>
        <w:ind w:firstLine="397"/>
        <w:jc w:val="both"/>
      </w:pPr>
      <w:r>
        <w:rPr>
          <w:rFonts w:ascii="Arial" w:cs="Arial" w:eastAsia="Arial" w:hAnsi="Arial"/>
          <w:sz w:val="24"/>
          <w:szCs w:val="24"/>
        </w:rPr>
        <w:t xml:space="preserve">10) прочие предприятия, учреждения и организации, подведомственные Министерству обороны Кыргызской Республики, Министерству внутренних дел Кыргызской Республики и органам национальной безопасности;</w:t>
      </w:r>
    </w:p>
    <w:p>
      <w:pPr>
        <w:spacing w:after="120"/>
        <w:ind w:firstLine="397"/>
        <w:jc w:val="both"/>
      </w:pPr>
      <w:r>
        <w:rPr>
          <w:rFonts w:ascii="Arial" w:cs="Arial" w:eastAsia="Arial" w:hAnsi="Arial"/>
          <w:sz w:val="24"/>
          <w:szCs w:val="24"/>
        </w:rPr>
        <w:t xml:space="preserve">11) органы судебной власти;</w:t>
      </w:r>
    </w:p>
    <w:p>
      <w:pPr>
        <w:spacing w:after="120"/>
        <w:ind w:firstLine="397"/>
        <w:jc w:val="both"/>
      </w:pPr>
      <w:r>
        <w:rPr>
          <w:rFonts w:ascii="Arial" w:cs="Arial" w:eastAsia="Arial" w:hAnsi="Arial"/>
          <w:sz w:val="24"/>
          <w:szCs w:val="24"/>
        </w:rPr>
        <w:t xml:space="preserve">12) Национальный банк Кыргызской Республики;</w:t>
      </w:r>
    </w:p>
    <w:p>
      <w:pPr>
        <w:spacing w:after="120"/>
        <w:ind w:firstLine="397"/>
        <w:jc w:val="both"/>
      </w:pPr>
      <w:r>
        <w:rPr>
          <w:rFonts w:ascii="Arial" w:cs="Arial" w:eastAsia="Arial" w:hAnsi="Arial"/>
          <w:sz w:val="24"/>
          <w:szCs w:val="24"/>
        </w:rPr>
        <w:t xml:space="preserve">13) любые потребители, которые могут быть отнесены к другим группам, однако полностью финансируются из республиканского и/или местного бюджета, за исключением потребителей группы "Детские учреждения интернатного типа, социальные стационарные и полустационарные учреждения для инвалидов и/или пожилых граждан", также должны быть отнесены к данной группе конечных потребителей.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11. Применение тарифов на электрическую энергию, отпускаемую для группы "Сельское хозяйство"</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Отпуск электрической энергии потребителям группы "Сельское хозяйство" производится по установленным тарифам, независимо от типа ввода, характера использования электрической энергии.</w:t>
      </w:r>
    </w:p>
    <w:p>
      <w:pPr>
        <w:spacing w:after="120"/>
        <w:ind w:firstLine="397"/>
        <w:jc w:val="both"/>
      </w:pPr>
      <w:r>
        <w:rPr>
          <w:rFonts w:ascii="Arial" w:cs="Arial" w:eastAsia="Arial" w:hAnsi="Arial"/>
          <w:sz w:val="24"/>
          <w:szCs w:val="24"/>
        </w:rPr>
        <w:t xml:space="preserve">56. Плата потребителями группы "Сельское хозяйство" за потребленную электроэнергию производится по тарифу, указанному в пункте 7 </w:t>
      </w:r>
      <w:hyperlink w:history="1" r:id="rIdwl6m66q9300frlcwdjuki">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57. К потребителям группы "Сельское хозяйство" относятся:</w:t>
      </w:r>
    </w:p>
    <w:p>
      <w:pPr>
        <w:spacing w:after="120"/>
        <w:ind w:firstLine="397"/>
        <w:jc w:val="both"/>
      </w:pPr>
      <w:r>
        <w:rPr>
          <w:rFonts w:ascii="Arial" w:cs="Arial" w:eastAsia="Arial" w:hAnsi="Arial"/>
          <w:sz w:val="24"/>
          <w:szCs w:val="24"/>
        </w:rPr>
        <w:t xml:space="preserve">1) крестьянские и фермерские хозяйства;</w:t>
      </w:r>
    </w:p>
    <w:p>
      <w:pPr>
        <w:spacing w:after="120"/>
        <w:ind w:firstLine="397"/>
        <w:jc w:val="both"/>
      </w:pPr>
      <w:r>
        <w:rPr>
          <w:rFonts w:ascii="Arial" w:cs="Arial" w:eastAsia="Arial" w:hAnsi="Arial"/>
          <w:sz w:val="24"/>
          <w:szCs w:val="24"/>
        </w:rPr>
        <w:t xml:space="preserve">2) животноводческие комплексы, кошары и предприятия по производству сельскохозяйственной продукции;</w:t>
      </w:r>
    </w:p>
    <w:p>
      <w:pPr>
        <w:spacing w:after="120"/>
        <w:ind w:firstLine="397"/>
        <w:jc w:val="both"/>
      </w:pPr>
      <w:r>
        <w:rPr>
          <w:rFonts w:ascii="Arial" w:cs="Arial" w:eastAsia="Arial" w:hAnsi="Arial"/>
          <w:sz w:val="24"/>
          <w:szCs w:val="24"/>
        </w:rPr>
        <w:t xml:space="preserve">3) самостоятельные или состоящие при кооперативных организациях и учреждениях подсобные сельские хозяйства;</w:t>
      </w:r>
    </w:p>
    <w:p>
      <w:pPr>
        <w:spacing w:after="120"/>
        <w:ind w:firstLine="397"/>
        <w:jc w:val="both"/>
      </w:pPr>
      <w:r>
        <w:rPr>
          <w:rFonts w:ascii="Arial" w:cs="Arial" w:eastAsia="Arial" w:hAnsi="Arial"/>
          <w:sz w:val="24"/>
          <w:szCs w:val="24"/>
        </w:rPr>
        <w:t xml:space="preserve">4) тепличные и теплично-парниковые хозяйства;</w:t>
      </w:r>
    </w:p>
    <w:p>
      <w:pPr>
        <w:spacing w:after="120"/>
        <w:ind w:firstLine="397"/>
        <w:jc w:val="both"/>
      </w:pPr>
      <w:r>
        <w:rPr>
          <w:rFonts w:ascii="Arial" w:cs="Arial" w:eastAsia="Arial" w:hAnsi="Arial"/>
          <w:sz w:val="24"/>
          <w:szCs w:val="24"/>
        </w:rPr>
        <w:t xml:space="preserve">5) кормовые и откормочные хозяйства (пункты), кормовые хозяйства госплемстанций, конные заводы, племенные заводы (хозяйства), животноводческие племенные питомники, станции (пункты), объединения по заготовке племенного скота;</w:t>
      </w:r>
    </w:p>
    <w:p>
      <w:pPr>
        <w:spacing w:after="120"/>
        <w:ind w:firstLine="397"/>
        <w:jc w:val="both"/>
      </w:pPr>
      <w:r>
        <w:rPr>
          <w:rFonts w:ascii="Arial" w:cs="Arial" w:eastAsia="Arial" w:hAnsi="Arial"/>
          <w:sz w:val="24"/>
          <w:szCs w:val="24"/>
        </w:rPr>
        <w:t xml:space="preserve">6) гренажные заводы, коконосушилки, племенные шелковичные станции;</w:t>
      </w:r>
    </w:p>
    <w:p>
      <w:pPr>
        <w:spacing w:after="120"/>
        <w:ind w:firstLine="397"/>
        <w:jc w:val="both"/>
      </w:pPr>
      <w:r>
        <w:rPr>
          <w:rFonts w:ascii="Arial" w:cs="Arial" w:eastAsia="Arial" w:hAnsi="Arial"/>
          <w:sz w:val="24"/>
          <w:szCs w:val="24"/>
        </w:rPr>
        <w:t xml:space="preserve">7) птицефабрики, инкубаторные птицеводческие станции, племптицезаводы (хозяйства);</w:t>
      </w:r>
    </w:p>
    <w:p>
      <w:pPr>
        <w:spacing w:after="120"/>
        <w:ind w:firstLine="397"/>
        <w:jc w:val="both"/>
      </w:pPr>
      <w:r>
        <w:rPr>
          <w:rFonts w:ascii="Arial" w:cs="Arial" w:eastAsia="Arial" w:hAnsi="Arial"/>
          <w:sz w:val="24"/>
          <w:szCs w:val="24"/>
        </w:rPr>
        <w:t xml:space="preserve">8) рыборазводные заводы (хозяйства), рыбхозы, рыбоводно-мелиоративные станции, рыбопитомники, рыбные пункты;</w:t>
      </w:r>
    </w:p>
    <w:p>
      <w:pPr>
        <w:spacing w:after="120"/>
        <w:ind w:firstLine="397"/>
        <w:jc w:val="both"/>
      </w:pPr>
      <w:r>
        <w:rPr>
          <w:rFonts w:ascii="Arial" w:cs="Arial" w:eastAsia="Arial" w:hAnsi="Arial"/>
          <w:sz w:val="24"/>
          <w:szCs w:val="24"/>
        </w:rPr>
        <w:t xml:space="preserve">9) пчелопитомники и пчелопасеки;</w:t>
      </w:r>
    </w:p>
    <w:p>
      <w:pPr>
        <w:spacing w:after="120"/>
        <w:ind w:firstLine="397"/>
        <w:jc w:val="both"/>
      </w:pPr>
      <w:r>
        <w:rPr>
          <w:rFonts w:ascii="Arial" w:cs="Arial" w:eastAsia="Arial" w:hAnsi="Arial"/>
          <w:sz w:val="24"/>
          <w:szCs w:val="24"/>
        </w:rPr>
        <w:t xml:space="preserve">10) сортоиспытательные участки сельскохозяйственных культур;</w:t>
      </w:r>
    </w:p>
    <w:p>
      <w:pPr>
        <w:spacing w:after="120"/>
        <w:ind w:firstLine="397"/>
        <w:jc w:val="both"/>
      </w:pPr>
      <w:r>
        <w:rPr>
          <w:rFonts w:ascii="Arial" w:cs="Arial" w:eastAsia="Arial" w:hAnsi="Arial"/>
          <w:sz w:val="24"/>
          <w:szCs w:val="24"/>
        </w:rPr>
        <w:t xml:space="preserve">11) сельскохозяйственные предприятия (хозяйства) по выращиванию лекарственного и технического сырья;</w:t>
      </w:r>
    </w:p>
    <w:p>
      <w:pPr>
        <w:spacing w:after="120"/>
        <w:ind w:firstLine="397"/>
        <w:jc w:val="both"/>
      </w:pPr>
      <w:r>
        <w:rPr>
          <w:rFonts w:ascii="Arial" w:cs="Arial" w:eastAsia="Arial" w:hAnsi="Arial"/>
          <w:sz w:val="24"/>
          <w:szCs w:val="24"/>
        </w:rPr>
        <w:t xml:space="preserve">12) станции защиты растений, экспедиции и отряды по борьбе с вредителями и болезнями растений;</w:t>
      </w:r>
    </w:p>
    <w:p>
      <w:pPr>
        <w:spacing w:after="120"/>
        <w:ind w:firstLine="397"/>
        <w:jc w:val="both"/>
      </w:pPr>
      <w:r>
        <w:rPr>
          <w:rFonts w:ascii="Arial" w:cs="Arial" w:eastAsia="Arial" w:hAnsi="Arial"/>
          <w:sz w:val="24"/>
          <w:szCs w:val="24"/>
        </w:rPr>
        <w:t xml:space="preserve">13) биофабрики и биокомбинаты;</w:t>
      </w:r>
    </w:p>
    <w:p>
      <w:pPr>
        <w:spacing w:after="120"/>
        <w:ind w:firstLine="397"/>
        <w:jc w:val="both"/>
      </w:pPr>
      <w:r>
        <w:rPr>
          <w:rFonts w:ascii="Arial" w:cs="Arial" w:eastAsia="Arial" w:hAnsi="Arial"/>
          <w:sz w:val="24"/>
          <w:szCs w:val="24"/>
        </w:rPr>
        <w:t xml:space="preserve">14) лесхозы, лесничества, лесопитомники, заповедники, охотничьи хозяйства, питомники пушных зверей, собак, хозяйства по выращиванию крольчат, звероводческие хозяйства;</w:t>
      </w:r>
    </w:p>
    <w:p>
      <w:pPr>
        <w:spacing w:after="120"/>
        <w:ind w:firstLine="397"/>
        <w:jc w:val="both"/>
      </w:pPr>
      <w:r>
        <w:rPr>
          <w:rFonts w:ascii="Arial" w:cs="Arial" w:eastAsia="Arial" w:hAnsi="Arial"/>
          <w:sz w:val="24"/>
          <w:szCs w:val="24"/>
        </w:rPr>
        <w:t xml:space="preserve">15) ветеринарные лаборатории (участки, пункты), станции по борьбе с болезнями животных, мясомолочные и пищевые контрольные станции;</w:t>
      </w:r>
    </w:p>
    <w:p>
      <w:pPr>
        <w:spacing w:after="120"/>
        <w:ind w:firstLine="397"/>
        <w:jc w:val="both"/>
      </w:pPr>
      <w:r>
        <w:rPr>
          <w:rFonts w:ascii="Arial" w:cs="Arial" w:eastAsia="Arial" w:hAnsi="Arial"/>
          <w:sz w:val="24"/>
          <w:szCs w:val="24"/>
        </w:rPr>
        <w:t xml:space="preserve">16) обводнительные и осушительные системы и их эксплуатационные участки.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12. Применение тарифов на электрическую энергию, отпускаемую потребителям группы "Промышленность (промышленные и приравненные к ним потребители)"</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58. Расчет за отпущенную электрическую энергию для группы "Промышленность (промышленные и приравненные к ним потребители)" производится по установленным тарифам.</w:t>
      </w:r>
    </w:p>
    <w:p>
      <w:pPr>
        <w:spacing w:after="120"/>
        <w:ind w:firstLine="397"/>
        <w:jc w:val="both"/>
      </w:pPr>
      <w:r>
        <w:rPr>
          <w:rFonts w:ascii="Arial" w:cs="Arial" w:eastAsia="Arial" w:hAnsi="Arial"/>
          <w:sz w:val="24"/>
          <w:szCs w:val="24"/>
        </w:rPr>
        <w:t xml:space="preserve">59. По этим же тарифам производится расчет за электрическую энергию, расходуемую потребителями группы "Промышленность" на производственные нужды и освещение производственных и непроизводственных (но связанных с производством) помещений: цехов, заводоуправлений, офисов, фабрично-заводских общественных организаций, складов, гаражей и так далее, а также собственных железнодорожных подъездных путей и территорий предприятий.</w:t>
      </w:r>
    </w:p>
    <w:p>
      <w:pPr>
        <w:spacing w:after="120"/>
        <w:ind w:firstLine="397"/>
        <w:jc w:val="both"/>
      </w:pPr>
      <w:r>
        <w:rPr>
          <w:rFonts w:ascii="Arial" w:cs="Arial" w:eastAsia="Arial" w:hAnsi="Arial"/>
          <w:sz w:val="24"/>
          <w:szCs w:val="24"/>
        </w:rPr>
        <w:t xml:space="preserve">60. У потребителей группы "Промышленность (промышленные и приравненные к ним потребители)" могут быть здания, помещения и сооружения, не связанные с производством (жилые поселки, отдельные жилые дома, общежития, гостиницы, дома для приезжих, кинотеатры, клубы, дома культуры, больницы, поликлиники, медпункты, бани, сауны, столовые, детские сады, ясли, насосные станции и тому подобное), в том числе находящиеся на одной территории с производством и подключенные от общих электрических сетей. Такие здания и помещения должны быть оснащены отдельными приборами учета. Расчеты за электрическую энергию, расходуемую на освещение и прочие нужды в таких зданиях и помещениях, не связанных с производством, производятся по тарифам, установленным для соответствующих групп потребителей.</w:t>
      </w:r>
    </w:p>
    <w:p>
      <w:pPr>
        <w:spacing w:after="120"/>
        <w:ind w:firstLine="397"/>
        <w:jc w:val="both"/>
      </w:pPr>
      <w:r>
        <w:rPr>
          <w:rFonts w:ascii="Arial" w:cs="Arial" w:eastAsia="Arial" w:hAnsi="Arial"/>
          <w:sz w:val="24"/>
          <w:szCs w:val="24"/>
        </w:rPr>
        <w:t xml:space="preserve">61. Если отдельные цеха или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120"/>
        <w:ind w:firstLine="397"/>
        <w:jc w:val="both"/>
      </w:pPr>
      <w:r>
        <w:rPr>
          <w:rFonts w:ascii="Arial" w:cs="Arial" w:eastAsia="Arial" w:hAnsi="Arial"/>
          <w:sz w:val="24"/>
          <w:szCs w:val="24"/>
        </w:rPr>
        <w:t xml:space="preserve">62. Плата потребителями группы "Промышленность (промышленные и приравненные к ним потребители)" за потребленную электроэнергию производится по тарифу, указанному в пункте 8 </w:t>
      </w:r>
      <w:hyperlink w:history="1" r:id="rIdvbvjy6x12nyhtsudlduu_">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63. К потребителям группы "Промышленность (промышленные и приравненные к ним потребители)" относятся предприятия любой организационной формы и собственности, занимающиеся производством и переработкой продукции, в том числе:</w:t>
      </w:r>
    </w:p>
    <w:p>
      <w:pPr>
        <w:spacing w:after="120"/>
        <w:ind w:firstLine="397"/>
        <w:jc w:val="both"/>
      </w:pPr>
      <w:r>
        <w:rPr>
          <w:rFonts w:ascii="Arial" w:cs="Arial" w:eastAsia="Arial" w:hAnsi="Arial"/>
          <w:sz w:val="24"/>
          <w:szCs w:val="24"/>
        </w:rPr>
        <w:t xml:space="preserve">1) объединения, промышленные предприятия (заводы, в том числе сельскохозяйственные ремонтные предприятия, мастерские по ремонту сельскохозяйственных машин и механизмов, а также опытные заводы научно-исследовательских организаций, комбинаты, фабрики, шахты, рудники, карьеры, разрезы, нефтяные, газовые промыслы, буровые установки и др.);</w:t>
      </w:r>
    </w:p>
    <w:p>
      <w:pPr>
        <w:spacing w:after="120"/>
        <w:ind w:firstLine="397"/>
        <w:jc w:val="both"/>
      </w:pPr>
      <w:r>
        <w:rPr>
          <w:rFonts w:ascii="Arial" w:cs="Arial" w:eastAsia="Arial" w:hAnsi="Arial"/>
          <w:sz w:val="24"/>
          <w:szCs w:val="24"/>
        </w:rPr>
        <w:t xml:space="preserve">2) производственные мастерские, типографии, холодильные установки, производственные и ремонтные базы;</w:t>
      </w:r>
    </w:p>
    <w:p>
      <w:pPr>
        <w:spacing w:after="120"/>
        <w:ind w:firstLine="397"/>
        <w:jc w:val="both"/>
      </w:pPr>
      <w:r>
        <w:rPr>
          <w:rFonts w:ascii="Arial" w:cs="Arial" w:eastAsia="Arial" w:hAnsi="Arial"/>
          <w:sz w:val="24"/>
          <w:szCs w:val="24"/>
        </w:rPr>
        <w:t xml:space="preserve">3) предприятия по производству строительных материалов;</w:t>
      </w:r>
    </w:p>
    <w:p>
      <w:pPr>
        <w:spacing w:after="120"/>
        <w:ind w:firstLine="397"/>
        <w:jc w:val="both"/>
      </w:pPr>
      <w:r>
        <w:rPr>
          <w:rFonts w:ascii="Arial" w:cs="Arial" w:eastAsia="Arial" w:hAnsi="Arial"/>
          <w:sz w:val="24"/>
          <w:szCs w:val="24"/>
        </w:rPr>
        <w:t xml:space="preserve">4) строительные организации, осуществляющие непосредственно строительные и монтажные работы, включая подсобные транспортные и вспомогательные объекты, обслуживающие данное строительство, сельскохозяйственные строительные организации;</w:t>
      </w:r>
    </w:p>
    <w:p>
      <w:pPr>
        <w:spacing w:after="120"/>
        <w:ind w:firstLine="397"/>
        <w:jc w:val="both"/>
      </w:pPr>
      <w:r>
        <w:rPr>
          <w:rFonts w:ascii="Arial" w:cs="Arial" w:eastAsia="Arial" w:hAnsi="Arial"/>
          <w:sz w:val="24"/>
          <w:szCs w:val="24"/>
        </w:rPr>
        <w:t xml:space="preserve">5) предприятия железнодорожного, водного, автомобильного, воздушного и городского транспорта (ремонтные и другие заводы, железнодорожные и автобусные депо и парки, сортировочные транспортные объекты, морские и речные порты, перевалочные базы и пункты, автобазы, нефтепроводы, магистральные газопроводы и другие);</w:t>
      </w:r>
    </w:p>
    <w:p>
      <w:pPr>
        <w:spacing w:after="120"/>
        <w:ind w:firstLine="397"/>
        <w:jc w:val="both"/>
      </w:pPr>
      <w:r>
        <w:rPr>
          <w:rFonts w:ascii="Arial" w:cs="Arial" w:eastAsia="Arial" w:hAnsi="Arial"/>
          <w:sz w:val="24"/>
          <w:szCs w:val="24"/>
        </w:rPr>
        <w:t xml:space="preserve">6) предприятия связи (компании кабельного телевидения, теле- и радиокомпании, радиостанции, телевизионные центры, ретрансляторы, телефонные и телеграфные узлы и станции, станции сотовой связи, интернет-провайдеры, почтамты и другие);</w:t>
      </w:r>
    </w:p>
    <w:p>
      <w:pPr>
        <w:spacing w:after="120"/>
        <w:ind w:firstLine="397"/>
        <w:jc w:val="both"/>
      </w:pPr>
      <w:r>
        <w:rPr>
          <w:rFonts w:ascii="Arial" w:cs="Arial" w:eastAsia="Arial" w:hAnsi="Arial"/>
          <w:sz w:val="24"/>
          <w:szCs w:val="24"/>
        </w:rPr>
        <w:t xml:space="preserve">7) предприятия коммунального хозяйства (котельные, предприятия тепловых сетей, предприятия водопроводно-канализационного хозяйства);</w:t>
      </w:r>
    </w:p>
    <w:p>
      <w:pPr>
        <w:spacing w:after="120"/>
        <w:ind w:firstLine="397"/>
        <w:jc w:val="both"/>
      </w:pPr>
      <w:r>
        <w:rPr>
          <w:rFonts w:ascii="Arial" w:cs="Arial" w:eastAsia="Arial" w:hAnsi="Arial"/>
          <w:sz w:val="24"/>
          <w:szCs w:val="24"/>
        </w:rPr>
        <w:t xml:space="preserve">8) предприятия и организации материально-технического снабжения и заготовок промышленных предприятий (склады, элеваторы, базы, в том числе и перевалочные, различные приемные пункты, разделочные и заготовительные объекты и другие);</w:t>
      </w:r>
    </w:p>
    <w:p>
      <w:pPr>
        <w:spacing w:after="120"/>
        <w:ind w:firstLine="397"/>
        <w:jc w:val="both"/>
      </w:pPr>
      <w:r>
        <w:rPr>
          <w:rFonts w:ascii="Arial" w:cs="Arial" w:eastAsia="Arial" w:hAnsi="Arial"/>
          <w:sz w:val="24"/>
          <w:szCs w:val="24"/>
        </w:rPr>
        <w:t xml:space="preserve">9) предприятия по производству молока и молочной продукции, муки и хлеба, в том числе мини-мельницы, маслобойки, мини-пекарни, цеха по производству мороженого;</w:t>
      </w:r>
    </w:p>
    <w:p>
      <w:pPr>
        <w:spacing w:after="120"/>
        <w:ind w:firstLine="397"/>
        <w:jc w:val="both"/>
      </w:pPr>
      <w:r>
        <w:rPr>
          <w:rFonts w:ascii="Arial" w:cs="Arial" w:eastAsia="Arial" w:hAnsi="Arial"/>
          <w:sz w:val="24"/>
          <w:szCs w:val="24"/>
        </w:rPr>
        <w:t xml:space="preserve">10) производство безалкогольных напитков;</w:t>
      </w:r>
    </w:p>
    <w:p>
      <w:pPr>
        <w:spacing w:after="120"/>
        <w:ind w:firstLine="397"/>
        <w:jc w:val="both"/>
      </w:pPr>
      <w:r>
        <w:rPr>
          <w:rFonts w:ascii="Arial" w:cs="Arial" w:eastAsia="Arial" w:hAnsi="Arial"/>
          <w:sz w:val="24"/>
          <w:szCs w:val="24"/>
        </w:rPr>
        <w:t xml:space="preserve">11) предприятия пищевой и легкой промышленности, в том числе кондитерские и швейные цеха;</w:t>
      </w:r>
    </w:p>
    <w:p>
      <w:pPr>
        <w:spacing w:after="120"/>
        <w:ind w:firstLine="397"/>
        <w:jc w:val="both"/>
      </w:pPr>
      <w:r>
        <w:rPr>
          <w:rFonts w:ascii="Arial" w:cs="Arial" w:eastAsia="Arial" w:hAnsi="Arial"/>
          <w:sz w:val="24"/>
          <w:szCs w:val="24"/>
        </w:rPr>
        <w:t xml:space="preserve">12) предприятия по переработке мяса, птицы, рыбы и плодоовощной продукции;</w:t>
      </w:r>
    </w:p>
    <w:p>
      <w:pPr>
        <w:spacing w:after="120"/>
        <w:ind w:firstLine="397"/>
        <w:jc w:val="both"/>
      </w:pPr>
      <w:r>
        <w:rPr>
          <w:rFonts w:ascii="Arial" w:cs="Arial" w:eastAsia="Arial" w:hAnsi="Arial"/>
          <w:sz w:val="24"/>
          <w:szCs w:val="24"/>
        </w:rPr>
        <w:t xml:space="preserve">13) мастерские по обработке кожи, дерева и металла;</w:t>
      </w:r>
    </w:p>
    <w:p>
      <w:pPr>
        <w:spacing w:after="120"/>
        <w:ind w:firstLine="397"/>
        <w:jc w:val="both"/>
      </w:pPr>
      <w:r>
        <w:rPr>
          <w:rFonts w:ascii="Arial" w:cs="Arial" w:eastAsia="Arial" w:hAnsi="Arial"/>
          <w:sz w:val="24"/>
          <w:szCs w:val="24"/>
        </w:rPr>
        <w:t xml:space="preserve">14) производство растительного масла;</w:t>
      </w:r>
    </w:p>
    <w:p>
      <w:pPr>
        <w:spacing w:after="120"/>
        <w:ind w:firstLine="397"/>
        <w:jc w:val="both"/>
      </w:pPr>
      <w:r>
        <w:rPr>
          <w:rFonts w:ascii="Arial" w:cs="Arial" w:eastAsia="Arial" w:hAnsi="Arial"/>
          <w:sz w:val="24"/>
          <w:szCs w:val="24"/>
        </w:rPr>
        <w:t xml:space="preserve">15) ремонтно-механические заводы и другие промышленные предприятия;</w:t>
      </w:r>
    </w:p>
    <w:p>
      <w:pPr>
        <w:spacing w:after="120"/>
        <w:ind w:firstLine="397"/>
        <w:jc w:val="both"/>
      </w:pPr>
      <w:r>
        <w:rPr>
          <w:rFonts w:ascii="Arial" w:cs="Arial" w:eastAsia="Arial" w:hAnsi="Arial"/>
          <w:sz w:val="24"/>
          <w:szCs w:val="24"/>
        </w:rPr>
        <w:t xml:space="preserve">16) склады, базы и цеха промышленных предприятий;</w:t>
      </w:r>
    </w:p>
    <w:p>
      <w:pPr>
        <w:spacing w:after="120"/>
        <w:ind w:firstLine="397"/>
        <w:jc w:val="both"/>
      </w:pPr>
      <w:r>
        <w:rPr>
          <w:rFonts w:ascii="Arial" w:cs="Arial" w:eastAsia="Arial" w:hAnsi="Arial"/>
          <w:sz w:val="24"/>
          <w:szCs w:val="24"/>
        </w:rPr>
        <w:t xml:space="preserve">17) фасовочные и тароремонтные предприятия и организации.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13. Применение тарифов на электрическую энергию, отпускаемую группе "Прочие потребители"</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 Отпуск электрической энергии всем прочим потребителям, независимо от типа ввода, производится по установленным тарифам.</w:t>
      </w:r>
    </w:p>
    <w:p>
      <w:pPr>
        <w:spacing w:after="120"/>
        <w:ind w:firstLine="397"/>
        <w:jc w:val="both"/>
      </w:pPr>
      <w:r>
        <w:rPr>
          <w:rFonts w:ascii="Arial" w:cs="Arial" w:eastAsia="Arial" w:hAnsi="Arial"/>
          <w:sz w:val="24"/>
          <w:szCs w:val="24"/>
        </w:rPr>
        <w:t xml:space="preserve">65. Отпуск электрической энергии прочим потребителям, использующим электрическую энергию в банях, саунах, а также для приготовления пищи на стационарных электрических приборах (плиты, печи и другие), независимо от типа ввода, производится по установленным тарифам.</w:t>
      </w:r>
    </w:p>
    <w:p>
      <w:pPr>
        <w:spacing w:after="120"/>
        <w:ind w:firstLine="397"/>
        <w:jc w:val="both"/>
      </w:pPr>
      <w:r>
        <w:rPr>
          <w:rFonts w:ascii="Arial" w:cs="Arial" w:eastAsia="Arial" w:hAnsi="Arial"/>
          <w:sz w:val="24"/>
          <w:szCs w:val="24"/>
        </w:rPr>
        <w:t xml:space="preserve">66. Расчет за электрическую энергию, отпущенную прочим потребителям, не относящимся к другим группам, производится по действующим тарифам, независимо от типа ввода и целей использования электроэнергии.</w:t>
      </w:r>
    </w:p>
    <w:p>
      <w:pPr>
        <w:spacing w:after="120"/>
        <w:ind w:firstLine="397"/>
        <w:jc w:val="both"/>
      </w:pPr>
      <w:r>
        <w:rPr>
          <w:rFonts w:ascii="Arial" w:cs="Arial" w:eastAsia="Arial" w:hAnsi="Arial"/>
          <w:sz w:val="24"/>
          <w:szCs w:val="24"/>
        </w:rPr>
        <w:t xml:space="preserve">67. Плата потребителями группы "Прочие потребители" за потребленную электроэнергию производится по тарифу, указанному в пункте 9 </w:t>
      </w:r>
      <w:hyperlink w:history="1" r:id="rIdma-z8c_tff-jku-_j-zoe">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68. К группе "Прочие потребители" относятся:</w:t>
      </w:r>
    </w:p>
    <w:p>
      <w:pPr>
        <w:spacing w:after="120"/>
        <w:ind w:firstLine="397"/>
        <w:jc w:val="both"/>
      </w:pPr>
      <w:r>
        <w:rPr>
          <w:rFonts w:ascii="Arial" w:cs="Arial" w:eastAsia="Arial" w:hAnsi="Arial"/>
          <w:sz w:val="24"/>
          <w:szCs w:val="24"/>
        </w:rPr>
        <w:t xml:space="preserve">1) средства массовой информации (редакции газет, журналов и другие);</w:t>
      </w:r>
    </w:p>
    <w:p>
      <w:pPr>
        <w:spacing w:after="120"/>
        <w:ind w:firstLine="397"/>
        <w:jc w:val="both"/>
      </w:pPr>
      <w:r>
        <w:rPr>
          <w:rFonts w:ascii="Arial" w:cs="Arial" w:eastAsia="Arial" w:hAnsi="Arial"/>
          <w:sz w:val="24"/>
          <w:szCs w:val="24"/>
        </w:rPr>
        <w:t xml:space="preserve">2) рекламные агентства, агентства недвижимости;</w:t>
      </w:r>
    </w:p>
    <w:p>
      <w:pPr>
        <w:spacing w:after="120"/>
        <w:ind w:firstLine="397"/>
        <w:jc w:val="both"/>
      </w:pPr>
      <w:r>
        <w:rPr>
          <w:rFonts w:ascii="Arial" w:cs="Arial" w:eastAsia="Arial" w:hAnsi="Arial"/>
          <w:sz w:val="24"/>
          <w:szCs w:val="24"/>
        </w:rPr>
        <w:t xml:space="preserve">3) банки, ломбарды, микрокредитные организации и другие финансово-кредитные учреждения, за исключением Национального банка Кыргызской Республики;</w:t>
      </w:r>
    </w:p>
    <w:p>
      <w:pPr>
        <w:spacing w:after="120"/>
        <w:ind w:firstLine="397"/>
        <w:jc w:val="both"/>
      </w:pPr>
      <w:r>
        <w:rPr>
          <w:rFonts w:ascii="Arial" w:cs="Arial" w:eastAsia="Arial" w:hAnsi="Arial"/>
          <w:sz w:val="24"/>
          <w:szCs w:val="24"/>
        </w:rPr>
        <w:t xml:space="preserve">4) склады и базы сбытовых и снабженческих организаций по оптовым поставкам оборудования, машин, приборов, нефтепродуктов и другой продукции производственного и строительного назначения, а также базы материально-технического снабжения и торговых организаций;</w:t>
      </w:r>
    </w:p>
    <w:p>
      <w:pPr>
        <w:spacing w:after="120"/>
        <w:ind w:firstLine="397"/>
        <w:jc w:val="both"/>
      </w:pPr>
      <w:r>
        <w:rPr>
          <w:rFonts w:ascii="Arial" w:cs="Arial" w:eastAsia="Arial" w:hAnsi="Arial"/>
          <w:sz w:val="24"/>
          <w:szCs w:val="24"/>
        </w:rPr>
        <w:t xml:space="preserve">5) общественные, правозащитные организации и объединения;</w:t>
      </w:r>
    </w:p>
    <w:p>
      <w:pPr>
        <w:spacing w:after="120"/>
        <w:ind w:firstLine="397"/>
        <w:jc w:val="both"/>
      </w:pPr>
      <w:r>
        <w:rPr>
          <w:rFonts w:ascii="Arial" w:cs="Arial" w:eastAsia="Arial" w:hAnsi="Arial"/>
          <w:sz w:val="24"/>
          <w:szCs w:val="24"/>
        </w:rPr>
        <w:t xml:space="preserve">6) жилищно-эксплуатационные управления, ТСЖ, ЖСК и другие юридические формы объединения жильцов (включая собственные нужды);</w:t>
      </w:r>
    </w:p>
    <w:p>
      <w:pPr>
        <w:spacing w:after="120"/>
        <w:ind w:firstLine="397"/>
        <w:jc w:val="both"/>
      </w:pPr>
      <w:r>
        <w:rPr>
          <w:rFonts w:ascii="Arial" w:cs="Arial" w:eastAsia="Arial" w:hAnsi="Arial"/>
          <w:sz w:val="24"/>
          <w:szCs w:val="24"/>
        </w:rPr>
        <w:t xml:space="preserve">7) научно-исследовательские, проектные и изыскательские институты, вычислительные центры, лаборатории, конструкторские бюро, другие научно-исследовательские и проектно-изыскательские учреждения;</w:t>
      </w:r>
    </w:p>
    <w:p>
      <w:pPr>
        <w:spacing w:after="120"/>
        <w:ind w:firstLine="397"/>
        <w:jc w:val="both"/>
      </w:pPr>
      <w:r>
        <w:rPr>
          <w:rFonts w:ascii="Arial" w:cs="Arial" w:eastAsia="Arial" w:hAnsi="Arial"/>
          <w:sz w:val="24"/>
          <w:szCs w:val="24"/>
        </w:rPr>
        <w:t xml:space="preserve">8) железнодорожные вокзалы, пристани, автовокзалы, аэровокзалы, аэродромы, аэропорты, автобусные станции;</w:t>
      </w:r>
    </w:p>
    <w:p>
      <w:pPr>
        <w:spacing w:after="120"/>
        <w:ind w:firstLine="397"/>
        <w:jc w:val="both"/>
      </w:pPr>
      <w:r>
        <w:rPr>
          <w:rFonts w:ascii="Arial" w:cs="Arial" w:eastAsia="Arial" w:hAnsi="Arial"/>
          <w:sz w:val="24"/>
          <w:szCs w:val="24"/>
        </w:rPr>
        <w:t xml:space="preserve">9) гаражи и гаражно-строительные кооперативы для личных автомашин, автопарки, автостоянки, автозаправочные станции, авторемонтные мастерские, станции технического обслуживания, автомойки;</w:t>
      </w:r>
    </w:p>
    <w:p>
      <w:pPr>
        <w:spacing w:after="120"/>
        <w:ind w:firstLine="397"/>
        <w:jc w:val="both"/>
      </w:pPr>
      <w:r>
        <w:rPr>
          <w:rFonts w:ascii="Arial" w:cs="Arial" w:eastAsia="Arial" w:hAnsi="Arial"/>
          <w:sz w:val="24"/>
          <w:szCs w:val="24"/>
        </w:rPr>
        <w:t xml:space="preserve">10) все предприятия бытового обслуживания населения, парикмахерские, фотоателье, ателье и мастерские по ремонту одежды, обуви, предметов культурно-бытового назначения и хозяйственного обихода, химчистки и прачечные, прокатные пункты, бани, сауны, душевые и другие предприятия бытового обслуживания;</w:t>
      </w:r>
    </w:p>
    <w:p>
      <w:pPr>
        <w:spacing w:after="120"/>
        <w:ind w:firstLine="397"/>
        <w:jc w:val="both"/>
      </w:pPr>
      <w:r>
        <w:rPr>
          <w:rFonts w:ascii="Arial" w:cs="Arial" w:eastAsia="Arial" w:hAnsi="Arial"/>
          <w:sz w:val="24"/>
          <w:szCs w:val="24"/>
        </w:rPr>
        <w:t xml:space="preserve">11) частные: больницы, поликлиники, профилактории, консультации, родильные дома, санатории и другие лечебные заведения;</w:t>
      </w:r>
    </w:p>
    <w:p>
      <w:pPr>
        <w:spacing w:after="120"/>
        <w:ind w:firstLine="397"/>
        <w:jc w:val="both"/>
      </w:pPr>
      <w:r>
        <w:rPr>
          <w:rFonts w:ascii="Arial" w:cs="Arial" w:eastAsia="Arial" w:hAnsi="Arial"/>
          <w:sz w:val="24"/>
          <w:szCs w:val="24"/>
        </w:rPr>
        <w:t xml:space="preserve">12) частные: школы, высшие и средние профессиональные учебные заведения (техникумы, училища и другие учебные заведения);</w:t>
      </w:r>
    </w:p>
    <w:p>
      <w:pPr>
        <w:spacing w:after="120"/>
        <w:ind w:firstLine="397"/>
        <w:jc w:val="both"/>
      </w:pPr>
      <w:r>
        <w:rPr>
          <w:rFonts w:ascii="Arial" w:cs="Arial" w:eastAsia="Arial" w:hAnsi="Arial"/>
          <w:sz w:val="24"/>
          <w:szCs w:val="24"/>
        </w:rPr>
        <w:t xml:space="preserve">13) частные: детские сады и ясли, лагеря отдыха и другие детские учреждения;</w:t>
      </w:r>
    </w:p>
    <w:p>
      <w:pPr>
        <w:spacing w:after="120"/>
        <w:ind w:firstLine="397"/>
        <w:jc w:val="both"/>
      </w:pPr>
      <w:r>
        <w:rPr>
          <w:rFonts w:ascii="Arial" w:cs="Arial" w:eastAsia="Arial" w:hAnsi="Arial"/>
          <w:sz w:val="24"/>
          <w:szCs w:val="24"/>
        </w:rPr>
        <w:t xml:space="preserve">14) гостиницы, дома отдыха, пансионаты, мотели, кемпинги, туристические базы и спортивно-оздоровительные комплексы, гостевые дома, хостелы;</w:t>
      </w:r>
    </w:p>
    <w:p>
      <w:pPr>
        <w:spacing w:after="120"/>
        <w:ind w:firstLine="397"/>
        <w:jc w:val="both"/>
      </w:pPr>
      <w:r>
        <w:rPr>
          <w:rFonts w:ascii="Arial" w:cs="Arial" w:eastAsia="Arial" w:hAnsi="Arial"/>
          <w:sz w:val="24"/>
          <w:szCs w:val="24"/>
        </w:rPr>
        <w:t xml:space="preserve">15) частные: киностудии, театры, концертные залы, кинотеатры, цирки и другие зрелищные предприятия;</w:t>
      </w:r>
    </w:p>
    <w:p>
      <w:pPr>
        <w:spacing w:after="120"/>
        <w:ind w:firstLine="397"/>
        <w:jc w:val="both"/>
      </w:pPr>
      <w:r>
        <w:rPr>
          <w:rFonts w:ascii="Arial" w:cs="Arial" w:eastAsia="Arial" w:hAnsi="Arial"/>
          <w:sz w:val="24"/>
          <w:szCs w:val="24"/>
        </w:rPr>
        <w:t xml:space="preserve">16) частные: музеи, выставки, библиотеки, читальни, лектории, планетарии, клубы, дома культуры и другие культурно-просветительные учреждения;</w:t>
      </w:r>
    </w:p>
    <w:p>
      <w:pPr>
        <w:spacing w:after="120"/>
        <w:ind w:firstLine="397"/>
        <w:jc w:val="both"/>
      </w:pPr>
      <w:r>
        <w:rPr>
          <w:rFonts w:ascii="Arial" w:cs="Arial" w:eastAsia="Arial" w:hAnsi="Arial"/>
          <w:sz w:val="24"/>
          <w:szCs w:val="24"/>
        </w:rPr>
        <w:t xml:space="preserve">17) частные: парки культуры и отдыха, сады, ботанические сады, зоопарки;</w:t>
      </w:r>
    </w:p>
    <w:p>
      <w:pPr>
        <w:spacing w:after="120"/>
        <w:ind w:firstLine="397"/>
        <w:jc w:val="both"/>
      </w:pPr>
      <w:r>
        <w:rPr>
          <w:rFonts w:ascii="Arial" w:cs="Arial" w:eastAsia="Arial" w:hAnsi="Arial"/>
          <w:sz w:val="24"/>
          <w:szCs w:val="24"/>
        </w:rPr>
        <w:t xml:space="preserve">18) частные: стадионы, ипподромы, плавательные бассейны, спортивные залы и другие спортивные сооружения;</w:t>
      </w:r>
    </w:p>
    <w:p>
      <w:pPr>
        <w:spacing w:after="120"/>
        <w:ind w:firstLine="397"/>
        <w:jc w:val="both"/>
      </w:pPr>
      <w:r>
        <w:rPr>
          <w:rFonts w:ascii="Arial" w:cs="Arial" w:eastAsia="Arial" w:hAnsi="Arial"/>
          <w:sz w:val="24"/>
          <w:szCs w:val="24"/>
        </w:rPr>
        <w:t xml:space="preserve">19) магазины всех видов, бутики, салоны, торговые комплексы, аптеки, обменные бюро, офисные центры;</w:t>
      </w:r>
    </w:p>
    <w:p>
      <w:pPr>
        <w:spacing w:after="120"/>
        <w:ind w:firstLine="397"/>
        <w:jc w:val="both"/>
      </w:pPr>
      <w:r>
        <w:rPr>
          <w:rFonts w:ascii="Arial" w:cs="Arial" w:eastAsia="Arial" w:hAnsi="Arial"/>
          <w:sz w:val="24"/>
          <w:szCs w:val="24"/>
        </w:rPr>
        <w:t xml:space="preserve">20) ларьки, палатки, автолавки, рынки, ярмарки и базары, сезонные торговые павильоны, киоски всех видов, домовые лавки;</w:t>
      </w:r>
    </w:p>
    <w:p>
      <w:pPr>
        <w:spacing w:after="120"/>
        <w:ind w:firstLine="397"/>
        <w:jc w:val="both"/>
      </w:pPr>
      <w:r>
        <w:rPr>
          <w:rFonts w:ascii="Arial" w:cs="Arial" w:eastAsia="Arial" w:hAnsi="Arial"/>
          <w:sz w:val="24"/>
          <w:szCs w:val="24"/>
        </w:rPr>
        <w:t xml:space="preserve">21) торговые склады, базы мелкой розницы, оптовые базы торговых организаций, овощехранилища, овощные и плодоовощные базы;</w:t>
      </w:r>
    </w:p>
    <w:p>
      <w:pPr>
        <w:spacing w:after="120"/>
        <w:ind w:firstLine="397"/>
        <w:jc w:val="both"/>
      </w:pPr>
      <w:r>
        <w:rPr>
          <w:rFonts w:ascii="Arial" w:cs="Arial" w:eastAsia="Arial" w:hAnsi="Arial"/>
          <w:sz w:val="24"/>
          <w:szCs w:val="24"/>
        </w:rPr>
        <w:t xml:space="preserve">22) столовые, закусочные, кафе, бары, чайные, рестораны, буфеты, фабрики-кухни, комбинаты полуфабрикатов, домовые кухни;</w:t>
      </w:r>
    </w:p>
    <w:p>
      <w:pPr>
        <w:spacing w:after="120"/>
        <w:ind w:firstLine="397"/>
        <w:jc w:val="both"/>
      </w:pPr>
      <w:r>
        <w:rPr>
          <w:rFonts w:ascii="Arial" w:cs="Arial" w:eastAsia="Arial" w:hAnsi="Arial"/>
          <w:sz w:val="24"/>
          <w:szCs w:val="24"/>
        </w:rPr>
        <w:t xml:space="preserve">23) залы игровых автоматов, интернет-кафе и другие развлекательные заведения;</w:t>
      </w:r>
    </w:p>
    <w:p>
      <w:pPr>
        <w:spacing w:after="120"/>
        <w:ind w:firstLine="397"/>
        <w:jc w:val="both"/>
      </w:pPr>
      <w:r>
        <w:rPr>
          <w:rFonts w:ascii="Arial" w:cs="Arial" w:eastAsia="Arial" w:hAnsi="Arial"/>
          <w:sz w:val="24"/>
          <w:szCs w:val="24"/>
        </w:rPr>
        <w:t xml:space="preserve">24) предприятия розничной торговой сети и общественного питания, независимо от формы собственности, непосредственно производящие продажу продовольственных, промышленных товаров, полуфабрикатов, а также отпуск блюд и напитков;</w:t>
      </w:r>
    </w:p>
    <w:p>
      <w:pPr>
        <w:spacing w:after="120"/>
        <w:ind w:firstLine="397"/>
        <w:jc w:val="both"/>
      </w:pPr>
      <w:r>
        <w:rPr>
          <w:rFonts w:ascii="Arial" w:cs="Arial" w:eastAsia="Arial" w:hAnsi="Arial"/>
          <w:sz w:val="24"/>
          <w:szCs w:val="24"/>
        </w:rPr>
        <w:t xml:space="preserve">25) другие потребители, не входящие ни в одну из вышеуказанных тарифных групп.</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14. Применение тарифов на электрическую энергию, отпускаемую группе "Майнинг (криптовалюта)"</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69. Отпуск электрической энергии группе "Майнинг (криптовалюта)", независимо от типа ввода, производится по установленным тарифам.</w:t>
      </w:r>
    </w:p>
    <w:p>
      <w:pPr>
        <w:spacing w:after="120"/>
        <w:ind w:firstLine="39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120"/>
        <w:ind w:firstLine="397"/>
        <w:jc w:val="both"/>
      </w:pPr>
      <w:r>
        <w:rPr>
          <w:rFonts w:ascii="Arial" w:cs="Arial" w:eastAsia="Arial" w:hAnsi="Arial"/>
          <w:sz w:val="24"/>
          <w:szCs w:val="24"/>
        </w:rPr>
        <w:t xml:space="preserve">70. Отнесение потребителей электроэнергии в группу "Майнинг (криптовалюта)"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120"/>
        <w:ind w:firstLine="397"/>
        <w:jc w:val="both"/>
      </w:pPr>
      <w:r>
        <w:rPr>
          <w:rFonts w:ascii="Arial" w:cs="Arial" w:eastAsia="Arial" w:hAnsi="Arial"/>
          <w:sz w:val="24"/>
          <w:szCs w:val="24"/>
        </w:rPr>
        <w:t xml:space="preserve">71. На период строительства объекта для целей майнинга (криптовалюта) применяется тариф на электроэнергию для группы потребителей "Промышленность".</w:t>
      </w:r>
    </w:p>
    <w:p>
      <w:pPr>
        <w:spacing w:after="120"/>
        <w:ind w:firstLine="397"/>
        <w:jc w:val="both"/>
      </w:pPr>
      <w:r>
        <w:rPr>
          <w:rFonts w:ascii="Arial" w:cs="Arial" w:eastAsia="Arial" w:hAnsi="Arial"/>
          <w:sz w:val="24"/>
          <w:szCs w:val="24"/>
        </w:rPr>
        <w:t xml:space="preserve">72. Тариф для группы потребителей "Майнинг (криптовалюта)" при потреблении электроэнергии принимается в размере, указанном в пункте 10 </w:t>
      </w:r>
      <w:hyperlink w:history="1" r:id="rIdvdpjd-0fukhpqeppolh_m">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15. Применение тарифов на электрическую энергию, отпускаемую группе "Золоторудная промышленность"</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Отпуск электрической энергии группе "Золоторудная промышленность" и вспомогательным объектам, независимо от типа ввода, производится по установленным тарифам.</w:t>
      </w:r>
    </w:p>
    <w:p>
      <w:pPr>
        <w:spacing w:after="120"/>
        <w:ind w:firstLine="39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120"/>
        <w:ind w:firstLine="397"/>
        <w:jc w:val="both"/>
      </w:pPr>
      <w:r>
        <w:rPr>
          <w:rFonts w:ascii="Arial" w:cs="Arial" w:eastAsia="Arial" w:hAnsi="Arial"/>
          <w:sz w:val="24"/>
          <w:szCs w:val="24"/>
        </w:rPr>
        <w:t xml:space="preserve">74. Отнесение потребителей электроэнергии в группу "Золоторудная промышленность"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120"/>
        <w:ind w:firstLine="397"/>
        <w:jc w:val="both"/>
      </w:pPr>
      <w:r>
        <w:rPr>
          <w:rFonts w:ascii="Arial" w:cs="Arial" w:eastAsia="Arial" w:hAnsi="Arial"/>
          <w:sz w:val="24"/>
          <w:szCs w:val="24"/>
        </w:rPr>
        <w:t xml:space="preserve">75. Тариф для группы потребителей "Золоторудная промышленность" при потреблении электроэнергии принимается в размере, указанном в пункте 11 </w:t>
      </w:r>
      <w:hyperlink w:history="1" r:id="rIdead6jdoipapvbs4qaci4s">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76. К группе "Золоторудная промышленность" относятся:</w:t>
      </w:r>
    </w:p>
    <w:p>
      <w:pPr>
        <w:spacing w:after="120"/>
        <w:ind w:firstLine="397"/>
        <w:jc w:val="both"/>
      </w:pPr>
      <w:r>
        <w:rPr>
          <w:rFonts w:ascii="Arial" w:cs="Arial" w:eastAsia="Arial" w:hAnsi="Arial"/>
          <w:sz w:val="24"/>
          <w:szCs w:val="24"/>
        </w:rPr>
        <w:t xml:space="preserve">1) предприятия, добывающие золотоносные руды;</w:t>
      </w:r>
    </w:p>
    <w:p>
      <w:pPr>
        <w:spacing w:after="120"/>
        <w:ind w:firstLine="397"/>
        <w:jc w:val="both"/>
      </w:pPr>
      <w:r>
        <w:rPr>
          <w:rFonts w:ascii="Arial" w:cs="Arial" w:eastAsia="Arial" w:hAnsi="Arial"/>
          <w:sz w:val="24"/>
          <w:szCs w:val="24"/>
        </w:rPr>
        <w:t xml:space="preserve">2) золоторудные комбинаты;</w:t>
      </w:r>
    </w:p>
    <w:p>
      <w:pPr>
        <w:spacing w:after="120"/>
        <w:ind w:firstLine="397"/>
        <w:jc w:val="both"/>
      </w:pPr>
      <w:r>
        <w:rPr>
          <w:rFonts w:ascii="Arial" w:cs="Arial" w:eastAsia="Arial" w:hAnsi="Arial"/>
          <w:sz w:val="24"/>
          <w:szCs w:val="24"/>
        </w:rPr>
        <w:t xml:space="preserve">3) золотоперерабатывающие комбинаты;</w:t>
      </w:r>
    </w:p>
    <w:p>
      <w:pPr>
        <w:spacing w:after="120"/>
        <w:ind w:firstLine="397"/>
        <w:jc w:val="both"/>
      </w:pPr>
      <w:r>
        <w:rPr>
          <w:rFonts w:ascii="Arial" w:cs="Arial" w:eastAsia="Arial" w:hAnsi="Arial"/>
          <w:sz w:val="24"/>
          <w:szCs w:val="24"/>
        </w:rPr>
        <w:t xml:space="preserve">4) аффинажные предприятия;</w:t>
      </w:r>
    </w:p>
    <w:p>
      <w:pPr>
        <w:spacing w:after="120"/>
        <w:ind w:firstLine="397"/>
        <w:jc w:val="both"/>
      </w:pPr>
      <w:r>
        <w:rPr>
          <w:rFonts w:ascii="Arial" w:cs="Arial" w:eastAsia="Arial" w:hAnsi="Arial"/>
          <w:sz w:val="24"/>
          <w:szCs w:val="24"/>
        </w:rPr>
        <w:t xml:space="preserve">5) обогатительные фабрики.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16. Применение тарифов на электрическую энергию, отпускаемую группе "Литейное производство"</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Отпуск электрической энергии группе "Литейное производство", независимо от типа ввода, производится по установленным тарифам.</w:t>
      </w:r>
    </w:p>
    <w:p>
      <w:pPr>
        <w:spacing w:after="120"/>
        <w:ind w:firstLine="39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120"/>
        <w:ind w:firstLine="397"/>
        <w:jc w:val="both"/>
      </w:pPr>
      <w:r>
        <w:rPr>
          <w:rFonts w:ascii="Arial" w:cs="Arial" w:eastAsia="Arial" w:hAnsi="Arial"/>
          <w:sz w:val="24"/>
          <w:szCs w:val="24"/>
        </w:rPr>
        <w:t xml:space="preserve">78. Отнесение потребителей электроэнергии в группу "Литейное производство"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120"/>
        <w:ind w:firstLine="397"/>
        <w:jc w:val="both"/>
      </w:pPr>
      <w:r>
        <w:rPr>
          <w:rFonts w:ascii="Arial" w:cs="Arial" w:eastAsia="Arial" w:hAnsi="Arial"/>
          <w:sz w:val="24"/>
          <w:szCs w:val="24"/>
        </w:rPr>
        <w:t xml:space="preserve">79. Тариф для группы потребителей "Литейное производство" при потреблении электроэнергии принимается в размере, указанном в пункте 12 </w:t>
      </w:r>
      <w:hyperlink w:history="1" r:id="rIdvjbe17_cb9xq_daphkutq">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80. К группе "Литейное производство" относятся:</w:t>
      </w:r>
    </w:p>
    <w:p>
      <w:pPr>
        <w:spacing w:after="120"/>
        <w:ind w:firstLine="397"/>
        <w:jc w:val="both"/>
      </w:pPr>
      <w:r>
        <w:rPr>
          <w:rFonts w:ascii="Arial" w:cs="Arial" w:eastAsia="Arial" w:hAnsi="Arial"/>
          <w:sz w:val="24"/>
          <w:szCs w:val="24"/>
        </w:rPr>
        <w:t xml:space="preserve">1) производство металлической литейной продукции;</w:t>
      </w:r>
    </w:p>
    <w:p>
      <w:pPr>
        <w:spacing w:after="120"/>
        <w:ind w:firstLine="397"/>
        <w:jc w:val="both"/>
      </w:pPr>
      <w:r>
        <w:rPr>
          <w:rFonts w:ascii="Arial" w:cs="Arial" w:eastAsia="Arial" w:hAnsi="Arial"/>
          <w:sz w:val="24"/>
          <w:szCs w:val="24"/>
        </w:rPr>
        <w:t xml:space="preserve">2) производство металлической плавильной продукции;</w:t>
      </w:r>
    </w:p>
    <w:p>
      <w:pPr>
        <w:spacing w:after="120"/>
        <w:ind w:firstLine="397"/>
        <w:jc w:val="both"/>
      </w:pPr>
      <w:r>
        <w:rPr>
          <w:rFonts w:ascii="Arial" w:cs="Arial" w:eastAsia="Arial" w:hAnsi="Arial"/>
          <w:sz w:val="24"/>
          <w:szCs w:val="24"/>
        </w:rPr>
        <w:t xml:space="preserve">3) производство по металлопрокату (горячему и холодному).</w:t>
      </w:r>
    </w:p>
    <w:p>
      <w:pPr>
        <w:spacing w:after="120"/>
        <w:ind w:firstLine="397"/>
        <w:jc w:val="both"/>
      </w:pPr>
      <w:r>
        <w:rPr>
          <w:rFonts w:ascii="Arial" w:cs="Arial" w:eastAsia="Arial" w:hAnsi="Arial"/>
          <w:sz w:val="24"/>
          <w:szCs w:val="24"/>
        </w:rPr>
        <w:t xml:space="preserve">81. При наличии отдельных приборов учета электроэнергии применение тарифа не распространяется на другие структурные производственные подразделения предприятий, не задействованных в литейном производстве.</w:t>
      </w:r>
    </w:p>
    <w:p>
      <w:pPr>
        <w:spacing w:after="120"/>
        <w:ind w:firstLine="397"/>
        <w:jc w:val="both"/>
      </w:pPr>
      <w:r>
        <w:rPr>
          <w:rFonts w:ascii="Arial" w:cs="Arial" w:eastAsia="Arial" w:hAnsi="Arial"/>
          <w:sz w:val="24"/>
          <w:szCs w:val="24"/>
        </w:rPr>
        <w:t xml:space="preserve">82. На период строительства объекта "Литейное производство" применяется тариф на электроэнергию для группы потребителей "Промышленность".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17. Применение тарифов на электрическую энергию, отпускаемую группе "Алкогольная промышленность"</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 Отпуск электрической энергии группе "Алкогольная промышленность", независимо от типа ввода, производится по установленным тарифам.</w:t>
      </w:r>
    </w:p>
    <w:p>
      <w:pPr>
        <w:spacing w:after="120"/>
        <w:ind w:firstLine="39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120"/>
        <w:ind w:firstLine="397"/>
        <w:jc w:val="both"/>
      </w:pPr>
      <w:r>
        <w:rPr>
          <w:rFonts w:ascii="Arial" w:cs="Arial" w:eastAsia="Arial" w:hAnsi="Arial"/>
          <w:sz w:val="24"/>
          <w:szCs w:val="24"/>
        </w:rPr>
        <w:t xml:space="preserve">84. Отнесение потребителей электроэнергии в группу "Алкогольная промышленность"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120"/>
        <w:ind w:firstLine="397"/>
        <w:jc w:val="both"/>
      </w:pPr>
      <w:r>
        <w:rPr>
          <w:rFonts w:ascii="Arial" w:cs="Arial" w:eastAsia="Arial" w:hAnsi="Arial"/>
          <w:sz w:val="24"/>
          <w:szCs w:val="24"/>
        </w:rPr>
        <w:t xml:space="preserve">85. Тариф для группы потребителей "Алкогольная промышленность" при потреблении электроэнергии принимается в размере, указанном в пункте 13 </w:t>
      </w:r>
      <w:hyperlink w:history="1" r:id="rIdnjay9kyovukeff1ppg8rv">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86. К группе "Алкогольная промышленность" относятся предприятия и объекты по производству следующих видов алкогольной продукции:</w:t>
      </w:r>
    </w:p>
    <w:p>
      <w:pPr>
        <w:spacing w:after="120"/>
        <w:ind w:firstLine="397"/>
        <w:jc w:val="both"/>
      </w:pPr>
      <w:r>
        <w:rPr>
          <w:rFonts w:ascii="Arial" w:cs="Arial" w:eastAsia="Arial" w:hAnsi="Arial"/>
          <w:sz w:val="24"/>
          <w:szCs w:val="24"/>
        </w:rPr>
        <w:t xml:space="preserve">1) водки и водки особые;</w:t>
      </w:r>
    </w:p>
    <w:p>
      <w:pPr>
        <w:spacing w:after="120"/>
        <w:ind w:firstLine="397"/>
        <w:jc w:val="both"/>
      </w:pPr>
      <w:r>
        <w:rPr>
          <w:rFonts w:ascii="Arial" w:cs="Arial" w:eastAsia="Arial" w:hAnsi="Arial"/>
          <w:sz w:val="24"/>
          <w:szCs w:val="24"/>
        </w:rPr>
        <w:t xml:space="preserve">2) ликеро-водочные изделия;</w:t>
      </w:r>
    </w:p>
    <w:p>
      <w:pPr>
        <w:spacing w:after="120"/>
        <w:ind w:firstLine="397"/>
        <w:jc w:val="both"/>
      </w:pPr>
      <w:r>
        <w:rPr>
          <w:rFonts w:ascii="Arial" w:cs="Arial" w:eastAsia="Arial" w:hAnsi="Arial"/>
          <w:sz w:val="24"/>
          <w:szCs w:val="24"/>
        </w:rPr>
        <w:t xml:space="preserve">3) виноматериалы;</w:t>
      </w:r>
    </w:p>
    <w:p>
      <w:pPr>
        <w:spacing w:after="120"/>
        <w:ind w:firstLine="397"/>
        <w:jc w:val="both"/>
      </w:pPr>
      <w:r>
        <w:rPr>
          <w:rFonts w:ascii="Arial" w:cs="Arial" w:eastAsia="Arial" w:hAnsi="Arial"/>
          <w:sz w:val="24"/>
          <w:szCs w:val="24"/>
        </w:rPr>
        <w:t xml:space="preserve">4) вина;</w:t>
      </w:r>
    </w:p>
    <w:p>
      <w:pPr>
        <w:spacing w:after="120"/>
        <w:ind w:firstLine="397"/>
        <w:jc w:val="both"/>
      </w:pPr>
      <w:r>
        <w:rPr>
          <w:rFonts w:ascii="Arial" w:cs="Arial" w:eastAsia="Arial" w:hAnsi="Arial"/>
          <w:sz w:val="24"/>
          <w:szCs w:val="24"/>
        </w:rPr>
        <w:t xml:space="preserve">5) игристые вина, шампанское;</w:t>
      </w:r>
    </w:p>
    <w:p>
      <w:pPr>
        <w:spacing w:after="120"/>
        <w:ind w:firstLine="397"/>
        <w:jc w:val="both"/>
      </w:pPr>
      <w:r>
        <w:rPr>
          <w:rFonts w:ascii="Arial" w:cs="Arial" w:eastAsia="Arial" w:hAnsi="Arial"/>
          <w:sz w:val="24"/>
          <w:szCs w:val="24"/>
        </w:rPr>
        <w:t xml:space="preserve">6) винные напитки;</w:t>
      </w:r>
    </w:p>
    <w:p>
      <w:pPr>
        <w:spacing w:after="120"/>
        <w:ind w:firstLine="397"/>
        <w:jc w:val="both"/>
      </w:pPr>
      <w:r>
        <w:rPr>
          <w:rFonts w:ascii="Arial" w:cs="Arial" w:eastAsia="Arial" w:hAnsi="Arial"/>
          <w:sz w:val="24"/>
          <w:szCs w:val="24"/>
        </w:rPr>
        <w:t xml:space="preserve">7) коньяк;</w:t>
      </w:r>
    </w:p>
    <w:p>
      <w:pPr>
        <w:spacing w:after="120"/>
        <w:ind w:firstLine="397"/>
        <w:jc w:val="both"/>
      </w:pPr>
      <w:r>
        <w:rPr>
          <w:rFonts w:ascii="Arial" w:cs="Arial" w:eastAsia="Arial" w:hAnsi="Arial"/>
          <w:sz w:val="24"/>
          <w:szCs w:val="24"/>
        </w:rPr>
        <w:t xml:space="preserve">8) бренди;</w:t>
      </w:r>
    </w:p>
    <w:p>
      <w:pPr>
        <w:spacing w:after="120"/>
        <w:ind w:firstLine="397"/>
        <w:jc w:val="both"/>
      </w:pPr>
      <w:r>
        <w:rPr>
          <w:rFonts w:ascii="Arial" w:cs="Arial" w:eastAsia="Arial" w:hAnsi="Arial"/>
          <w:sz w:val="24"/>
          <w:szCs w:val="24"/>
        </w:rPr>
        <w:t xml:space="preserve">9) кальвадос;</w:t>
      </w:r>
    </w:p>
    <w:p>
      <w:pPr>
        <w:spacing w:after="120"/>
        <w:ind w:firstLine="397"/>
        <w:jc w:val="both"/>
      </w:pPr>
      <w:r>
        <w:rPr>
          <w:rFonts w:ascii="Arial" w:cs="Arial" w:eastAsia="Arial" w:hAnsi="Arial"/>
          <w:sz w:val="24"/>
          <w:szCs w:val="24"/>
        </w:rPr>
        <w:t xml:space="preserve">10) пиво;</w:t>
      </w:r>
    </w:p>
    <w:p>
      <w:pPr>
        <w:spacing w:after="120"/>
        <w:ind w:firstLine="397"/>
        <w:jc w:val="both"/>
      </w:pPr>
      <w:r>
        <w:rPr>
          <w:rFonts w:ascii="Arial" w:cs="Arial" w:eastAsia="Arial" w:hAnsi="Arial"/>
          <w:sz w:val="24"/>
          <w:szCs w:val="24"/>
        </w:rPr>
        <w:t xml:space="preserve">11) прочие крепкие алкогольные напитки;</w:t>
      </w:r>
    </w:p>
    <w:p>
      <w:pPr>
        <w:spacing w:after="120"/>
        <w:ind w:firstLine="397"/>
        <w:jc w:val="both"/>
      </w:pPr>
      <w:r>
        <w:rPr>
          <w:rFonts w:ascii="Arial" w:cs="Arial" w:eastAsia="Arial" w:hAnsi="Arial"/>
          <w:sz w:val="24"/>
          <w:szCs w:val="24"/>
        </w:rPr>
        <w:t xml:space="preserve">12) прочие слабоалкогольные напитки.</w:t>
      </w:r>
    </w:p>
    <w:p>
      <w:pPr>
        <w:spacing w:after="120"/>
        <w:ind w:firstLine="397"/>
        <w:jc w:val="both"/>
      </w:pPr>
      <w:r>
        <w:rPr>
          <w:rFonts w:ascii="Arial" w:cs="Arial" w:eastAsia="Arial" w:hAnsi="Arial"/>
          <w:sz w:val="24"/>
          <w:szCs w:val="24"/>
        </w:rPr>
        <w:t xml:space="preserve">87. На период строительства объекта "Алкогольная промышленность" применяется тариф на электроэнергию для группы потребителей "Промышленность".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18. Применение тарифов на электрическую энергию, отпускаемую группе "Цементное производство"</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88. Отпуск электрической энергии группе "Цементное производство", независимо от типа ввода, производится по установленным тарифам.</w:t>
      </w:r>
    </w:p>
    <w:p>
      <w:pPr>
        <w:spacing w:after="120"/>
        <w:ind w:firstLine="39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120"/>
        <w:ind w:firstLine="397"/>
        <w:jc w:val="both"/>
      </w:pPr>
      <w:r>
        <w:rPr>
          <w:rFonts w:ascii="Arial" w:cs="Arial" w:eastAsia="Arial" w:hAnsi="Arial"/>
          <w:sz w:val="24"/>
          <w:szCs w:val="24"/>
        </w:rPr>
        <w:t xml:space="preserve">89. Отнесение потребителей электроэнергии в группу "Цементное производство"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120"/>
        <w:ind w:firstLine="397"/>
        <w:jc w:val="both"/>
      </w:pPr>
      <w:r>
        <w:rPr>
          <w:rFonts w:ascii="Arial" w:cs="Arial" w:eastAsia="Arial" w:hAnsi="Arial"/>
          <w:sz w:val="24"/>
          <w:szCs w:val="24"/>
        </w:rPr>
        <w:t xml:space="preserve">90. Тариф для группы потребителей "Цементное производство" при потреблении электроэнергии принимается в размере, указанном в пункте 14 </w:t>
      </w:r>
      <w:hyperlink w:history="1" r:id="rIdhtiivtnm6ugtc6dkh0clg">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91. К группе "Цементное производство" относятся предприятия по производству цемента и цементной продукции.</w:t>
      </w:r>
    </w:p>
    <w:p>
      <w:pPr>
        <w:spacing w:after="120"/>
        <w:ind w:firstLine="397"/>
        <w:jc w:val="both"/>
      </w:pPr>
      <w:r>
        <w:rPr>
          <w:rFonts w:ascii="Arial" w:cs="Arial" w:eastAsia="Arial" w:hAnsi="Arial"/>
          <w:sz w:val="24"/>
          <w:szCs w:val="24"/>
        </w:rPr>
        <w:t xml:space="preserve">92. На период строительства объекта "Цементное производство" применяется тариф на электроэнергию для группы потребителей "Промышленность".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19. Применение тарифов на электрическую энергию, отпускаемую основным потребителям</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93. Тарифы на электрическую энергию для основных потребителей электрической энергии устанавливаются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94. Плата за потребленную электрическую энергию основными потребителями электроэнергии производится по тарифам, установленным для потребителей группы "Промышленность (промышленные и приравненные к ним потребители)", за исключением основных потребителей, отнесенных к группам:</w:t>
      </w:r>
    </w:p>
    <w:p>
      <w:pPr>
        <w:spacing w:after="120"/>
        <w:ind w:firstLine="397"/>
        <w:jc w:val="both"/>
      </w:pPr>
      <w:r>
        <w:rPr>
          <w:rFonts w:ascii="Arial" w:cs="Arial" w:eastAsia="Arial" w:hAnsi="Arial"/>
          <w:sz w:val="24"/>
          <w:szCs w:val="24"/>
        </w:rPr>
        <w:t xml:space="preserve">1) "Майнинг (криптовалюта)";</w:t>
      </w:r>
    </w:p>
    <w:p>
      <w:pPr>
        <w:spacing w:after="120"/>
        <w:ind w:firstLine="397"/>
        <w:jc w:val="both"/>
      </w:pPr>
      <w:r>
        <w:rPr>
          <w:rFonts w:ascii="Arial" w:cs="Arial" w:eastAsia="Arial" w:hAnsi="Arial"/>
          <w:sz w:val="24"/>
          <w:szCs w:val="24"/>
        </w:rPr>
        <w:t xml:space="preserve">2) "Золоторудная промышленность";</w:t>
      </w:r>
    </w:p>
    <w:p>
      <w:pPr>
        <w:spacing w:after="120"/>
        <w:ind w:firstLine="397"/>
        <w:jc w:val="both"/>
      </w:pPr>
      <w:r>
        <w:rPr>
          <w:rFonts w:ascii="Arial" w:cs="Arial" w:eastAsia="Arial" w:hAnsi="Arial"/>
          <w:sz w:val="24"/>
          <w:szCs w:val="24"/>
        </w:rPr>
        <w:t xml:space="preserve">3) "Литейное производство";</w:t>
      </w:r>
    </w:p>
    <w:p>
      <w:pPr>
        <w:spacing w:after="120"/>
        <w:ind w:firstLine="397"/>
        <w:jc w:val="both"/>
      </w:pPr>
      <w:r>
        <w:rPr>
          <w:rFonts w:ascii="Arial" w:cs="Arial" w:eastAsia="Arial" w:hAnsi="Arial"/>
          <w:sz w:val="24"/>
          <w:szCs w:val="24"/>
        </w:rPr>
        <w:t xml:space="preserve">4) "Алкогольная промышленность";</w:t>
      </w:r>
    </w:p>
    <w:p>
      <w:pPr>
        <w:spacing w:after="120"/>
        <w:ind w:firstLine="397"/>
        <w:jc w:val="both"/>
      </w:pPr>
      <w:r>
        <w:rPr>
          <w:rFonts w:ascii="Arial" w:cs="Arial" w:eastAsia="Arial" w:hAnsi="Arial"/>
          <w:sz w:val="24"/>
          <w:szCs w:val="24"/>
        </w:rPr>
        <w:t xml:space="preserve">5) "Цементное производство".</w:t>
      </w:r>
    </w:p>
    <w:p>
      <w:pPr>
        <w:spacing w:after="120"/>
        <w:ind w:firstLine="397"/>
        <w:jc w:val="both"/>
      </w:pPr>
      <w:r>
        <w:rPr>
          <w:rFonts w:ascii="Arial" w:cs="Arial" w:eastAsia="Arial" w:hAnsi="Arial"/>
          <w:sz w:val="24"/>
          <w:szCs w:val="24"/>
        </w:rPr>
        <w:t xml:space="preserve">95. Суммарный тариф на электрическую энергию для основных потребителей электрической энергии не должен превышать тариф, установленный для группы небытовых потребителей. При этом, суммарный тариф за 1 кВт.ч электрической энергии должен складываться из тарифа на покупку 1 кВт.ч электрической энергии от вырабатывающей энергокомпании и тарифа на передачу электрической энергии, в случае подключения от сетей открытого акционерного общества "Национальная электрическая сеть Кыргызстана".</w:t>
      </w:r>
    </w:p>
    <w:p>
      <w:pPr>
        <w:spacing w:after="120"/>
        <w:ind w:firstLine="397"/>
        <w:jc w:val="both"/>
      </w:pPr>
      <w:r>
        <w:rPr>
          <w:rFonts w:ascii="Arial" w:cs="Arial" w:eastAsia="Arial" w:hAnsi="Arial"/>
          <w:sz w:val="24"/>
          <w:szCs w:val="24"/>
        </w:rPr>
        <w:t xml:space="preserve">96. К основным потребителям электрической энергии относятся потребители, которые имеют подключение напрямую от распределительных устройств генерирующей компании или от высоковольтных передающих сетей открытого акционерного общества "Национальная электрическая сеть Кыргызстана" и включены в Перечень основных потребителей электрической энергии и, следовательно, имеют право на заключение прямых договоров с генерирующими и передающими компаниями.</w:t>
      </w:r>
    </w:p>
    <w:p>
      <w:pPr>
        <w:spacing w:after="120"/>
        <w:ind w:firstLine="397"/>
        <w:jc w:val="both"/>
      </w:pPr>
      <w:r>
        <w:rPr>
          <w:rFonts w:ascii="Arial" w:cs="Arial" w:eastAsia="Arial" w:hAnsi="Arial"/>
          <w:sz w:val="24"/>
          <w:szCs w:val="24"/>
        </w:rPr>
        <w:t xml:space="preserve">97. Перечень основных потребителей электрической энергии утверждается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20. Применение тарифов на электрическую энергию, отпускаемую потребителям-перепродавцам электрической энергии</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98. Потребителем-перепродавцом электрической энергии является физическое или юридическое лицо, имеющее в своей собственности электрические сети, осуществляющее покупку электрической энергии и мощности у электроснабжающих организаций и (или) поставщиков для собственного потребления и для продажи по регулируемому тарифу и имеющее лицензию на соответствующий вид деятельности согласно законодательству Кыргызской Республики.</w:t>
      </w:r>
    </w:p>
    <w:p>
      <w:pPr>
        <w:spacing w:after="120"/>
        <w:ind w:firstLine="397"/>
        <w:jc w:val="both"/>
      </w:pPr>
      <w:r>
        <w:rPr>
          <w:rFonts w:ascii="Arial" w:cs="Arial" w:eastAsia="Arial" w:hAnsi="Arial"/>
          <w:sz w:val="24"/>
          <w:szCs w:val="24"/>
        </w:rPr>
        <w:t xml:space="preserve">99. Тарифы на электрическую энергию для потребителей-перепродавцов устанавливаются в размерах и порядке, определяемых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100. Потребители-перепродавцы отпускают полученную от электроснабжающих организаций электрическую энергию потребителям, подключенным к их сетям, по тарифам, установленным уполномоченным государственным органом по регулированию топливно-энергетического комплекса для соответствующих групп конечных потребителей.</w:t>
      </w:r>
    </w:p>
    <w:p>
      <w:pPr>
        <w:spacing w:after="120"/>
        <w:ind w:firstLine="397"/>
        <w:jc w:val="both"/>
      </w:pPr>
      <w:r>
        <w:rPr>
          <w:rFonts w:ascii="Arial" w:cs="Arial" w:eastAsia="Arial" w:hAnsi="Arial"/>
          <w:sz w:val="24"/>
          <w:szCs w:val="24"/>
        </w:rPr>
        <w:t xml:space="preserve">101. Перечень потребителей-перепродавцов электрической энергии утверждается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21. Применение тарифов на электрическую энергию, отпускаемую распределяющим предприятиям</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102. Распределяющими предприятиями (предприятия, распределяющие электрическую энергию) являются любые государственные, частные юридические или физические лица, снабжающие электрической энергией потребителей.</w:t>
      </w:r>
    </w:p>
    <w:p>
      <w:pPr>
        <w:spacing w:after="120"/>
        <w:ind w:firstLine="397"/>
        <w:jc w:val="both"/>
      </w:pPr>
      <w:r>
        <w:rPr>
          <w:rFonts w:ascii="Arial" w:cs="Arial" w:eastAsia="Arial" w:hAnsi="Arial"/>
          <w:sz w:val="24"/>
          <w:szCs w:val="24"/>
        </w:rPr>
        <w:t xml:space="preserve">Распределяющие предприятия производят покупку электрической энергии у электроэнергетических предприятий, занимающихся выработкой и передачей электрической энергии, и осуществляют ее распределение и продажу различным конечным потребителям, подключенным к их сетям: предприятиям, учреждениям, организациям, населению и т.д.</w:t>
      </w:r>
    </w:p>
    <w:p>
      <w:pPr>
        <w:spacing w:after="120"/>
        <w:ind w:firstLine="397"/>
        <w:jc w:val="both"/>
      </w:pPr>
      <w:r>
        <w:rPr>
          <w:rFonts w:ascii="Arial" w:cs="Arial" w:eastAsia="Arial" w:hAnsi="Arial"/>
          <w:sz w:val="24"/>
          <w:szCs w:val="24"/>
        </w:rPr>
        <w:t xml:space="preserve">Распределяющие предприятия осуществляют свою деятельность в соответствии с условиями лицензии, полученной в уполномоченном государственном органе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103. Расчет за отпущенную электрическую энергию с распределяющими предприятиями производится по тарифам, установленным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104. Тарифы на электрическую энергию для распределяющих предприятий устанавливаются в размерах и порядке, определяемых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105. Распределяющие предприятия отпускают полученную от электроэнергетических предприятий электрическую энергию своим потребителям по тарифам, установленным уполномоченным государственным органом по регулированию топливно-энергетического комплекса для соответствующих групп конечных потребителей.</w:t>
      </w:r>
    </w:p>
    <w:p>
      <w:pPr>
        <w:spacing w:after="120"/>
        <w:ind w:firstLine="397"/>
        <w:jc w:val="both"/>
      </w:pPr>
      <w:r>
        <w:rPr>
          <w:rFonts w:ascii="Arial" w:cs="Arial" w:eastAsia="Arial" w:hAnsi="Arial"/>
          <w:sz w:val="24"/>
          <w:szCs w:val="24"/>
        </w:rPr>
        <w:t xml:space="preserve">106. Перечень распределяющих предприятий утверждается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whyexcu9rf4m2totrert">
      <w:r>
        <w:rPr>
          <w:rFonts w:ascii="Arial" w:cs="Arial" w:eastAsia="Arial" w:hAnsi="Arial"/>
          <w:color w:val="132D3F"/>
          <w:sz w:val="16"/>
          <w:szCs w:val="16"/>
          <w:u w:val="single"/>
        </w:rPr>
        <w:t xml:space="preserve">dalil.kg/document/230005066</w:t>
      </w:r>
    </w:hyperlink>
  </w:p>
  <w:p>
    <w:pPr>
      <w:spacing w:after="0" w:before="40"/>
      <w:jc w:val="center"/>
    </w:pPr>
    <w:hyperlink w:history="1" r:id="rIdwktsagu3o6yjfumvzzl_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s-mssj7wqjep5aer6cp9" Type="http://schemas.openxmlformats.org/officeDocument/2006/relationships/hyperlink" Target="https://dalil.kg/document/230025980" TargetMode="External"/><Relationship Id="rIdjvuvwn78lkldobbvdrtzz" Type="http://schemas.openxmlformats.org/officeDocument/2006/relationships/hyperlink" Target="https://dalil.kg/document/160661" TargetMode="External"/><Relationship Id="rIdwe8nvahzr-ixbndm0ovxp" Type="http://schemas.openxmlformats.org/officeDocument/2006/relationships/hyperlink" Target="https://dalil.kg/document/158785#pr1" TargetMode="External"/><Relationship Id="rIddpr0ajby95o392euqwshs" Type="http://schemas.openxmlformats.org/officeDocument/2006/relationships/hyperlink" Target="https://dalil.kg/document/158785#pr1" TargetMode="External"/><Relationship Id="rIdvvzu6jipiq86ly86uiwe1" Type="http://schemas.openxmlformats.org/officeDocument/2006/relationships/hyperlink" Target="https://dalil.kg/document/158785#pr1" TargetMode="External"/><Relationship Id="rIdvc9pdcfjmtaadjeuhlyq7" Type="http://schemas.openxmlformats.org/officeDocument/2006/relationships/hyperlink" Target="https://dalil.kg/document/158785#pr1" TargetMode="External"/><Relationship Id="rIdvsqv5kojnf_o9yzpqemkf" Type="http://schemas.openxmlformats.org/officeDocument/2006/relationships/hyperlink" Target="https://dalil.kg/document/158785#pr1" TargetMode="External"/><Relationship Id="rIdsyxirdcl83rtmnvtsgjsz" Type="http://schemas.openxmlformats.org/officeDocument/2006/relationships/hyperlink" Target="https://dalil.kg/document/158785#pr1" TargetMode="External"/><Relationship Id="rIdorykcjk6-h-toahewwcf-" Type="http://schemas.openxmlformats.org/officeDocument/2006/relationships/hyperlink" Target="https://dalil.kg/document/158785#pr1" TargetMode="External"/><Relationship Id="rIdmpvqx4dxaw5ed8r3gl6ww" Type="http://schemas.openxmlformats.org/officeDocument/2006/relationships/hyperlink" Target="https://dalil.kg/document/158785#pr2" TargetMode="External"/><Relationship Id="rId5t_pjy9jtnj9ak7j0kjoa" Type="http://schemas.openxmlformats.org/officeDocument/2006/relationships/hyperlink" Target="https://dalil.kg/document/158785#pr2" TargetMode="External"/><Relationship Id="rIdmd1rneeksvxx_enlpo4gj" Type="http://schemas.openxmlformats.org/officeDocument/2006/relationships/hyperlink" Target="https://dalil.kg/document/158785#pr2" TargetMode="External"/><Relationship Id="rIdhonv9fcpx9eh9lolyjaai" Type="http://schemas.openxmlformats.org/officeDocument/2006/relationships/hyperlink" Target="https://dalil.kg/document/158785#pr2" TargetMode="External"/><Relationship Id="rIdnpmhlyjlw_lkkdadiccpw" Type="http://schemas.openxmlformats.org/officeDocument/2006/relationships/hyperlink" Target="https://dalil.kg/document/158785#pr2" TargetMode="External"/><Relationship Id="rIdl_a27stbjkjdp1t1c0609" Type="http://schemas.openxmlformats.org/officeDocument/2006/relationships/hyperlink" Target="https://dalil.kg/document/158785#pr2" TargetMode="External"/><Relationship Id="rIdon3_ojbnqmbt3r6tfrsx7" Type="http://schemas.openxmlformats.org/officeDocument/2006/relationships/hyperlink" Target="https://dalil.kg/document/158785#pr2" TargetMode="External"/><Relationship Id="rIdi6r4nbjplklmf0em5_phc" Type="http://schemas.openxmlformats.org/officeDocument/2006/relationships/hyperlink" Target="https://dalil.kg/document/158785#pr1" TargetMode="External"/><Relationship Id="rId5toefe48ph0wb0drpb5f8" Type="http://schemas.openxmlformats.org/officeDocument/2006/relationships/hyperlink" Target="https://dalil.kg/document/158785#pr1" TargetMode="External"/><Relationship Id="rIdjta38r_dv3qvgffwc76em" Type="http://schemas.openxmlformats.org/officeDocument/2006/relationships/hyperlink" Target="https://dalil.kg/document/158785#pr1" TargetMode="External"/><Relationship Id="rIdpkvlrgj3xanwrmbttcylr" Type="http://schemas.openxmlformats.org/officeDocument/2006/relationships/hyperlink" Target="https://dalil.kg/document/158785#pr1" TargetMode="External"/><Relationship Id="rIdvifjgq0mocmxl--5xsn1d" Type="http://schemas.openxmlformats.org/officeDocument/2006/relationships/hyperlink" Target="https://dalil.kg/document/158785#pr1" TargetMode="External"/><Relationship Id="rIdupailzdihs-peou7hwmfa" Type="http://schemas.openxmlformats.org/officeDocument/2006/relationships/hyperlink" Target="https://dalil.kg/document/158785#pr1" TargetMode="External"/><Relationship Id="rIdwr_a9rnd0qwyxledb0by7" Type="http://schemas.openxmlformats.org/officeDocument/2006/relationships/hyperlink" Target="https://dalil.kg/document/158785#pr1" TargetMode="External"/><Relationship Id="rIdannvukkmpji_jtipkest6" Type="http://schemas.openxmlformats.org/officeDocument/2006/relationships/hyperlink" Target="https://dalil.kg/document/158785#pr1" TargetMode="External"/><Relationship Id="rId8pddqvfiaki1jneoui1vf" Type="http://schemas.openxmlformats.org/officeDocument/2006/relationships/hyperlink" Target="https://dalil.kg/document/158785#pr1" TargetMode="External"/><Relationship Id="rIdtokkp4kfud0nqbjr5ahzr" Type="http://schemas.openxmlformats.org/officeDocument/2006/relationships/hyperlink" Target="https://dalil.kg/document/158785#pr1" TargetMode="External"/><Relationship Id="rIdhzsx7v5kyia9azuvsmg2j" Type="http://schemas.openxmlformats.org/officeDocument/2006/relationships/hyperlink" Target="https://dalil.kg/document/158785#pr2" TargetMode="External"/><Relationship Id="rIdsyatcuesfkqa44pqy_b8k" Type="http://schemas.openxmlformats.org/officeDocument/2006/relationships/hyperlink" Target="https://dalil.kg/document/158785#pr1" TargetMode="External"/><Relationship Id="rIdpjvk49qfblkkv6bzdxlvm" Type="http://schemas.openxmlformats.org/officeDocument/2006/relationships/hyperlink" Target="https://dalil.kg/document/158785#pr1" TargetMode="External"/><Relationship Id="rIdxf_yjlfg6gyqwqamx376w" Type="http://schemas.openxmlformats.org/officeDocument/2006/relationships/hyperlink" Target="https://dalil.kg/document/158785#pr1" TargetMode="External"/><Relationship Id="rIdemgz8mlc2zj64z1i9tqne" Type="http://schemas.openxmlformats.org/officeDocument/2006/relationships/hyperlink" Target="https://dalil.kg/document/158785#pr1" TargetMode="External"/><Relationship Id="rIdefkvi9cizmjrhzyiasoe1" Type="http://schemas.openxmlformats.org/officeDocument/2006/relationships/hyperlink" Target="https://dalil.kg/document/158785#pr1" TargetMode="External"/><Relationship Id="rIdpsjxcinls1vgw3v3wpsyk" Type="http://schemas.openxmlformats.org/officeDocument/2006/relationships/hyperlink" Target="https://dalil.kg/document/158785#pr1" TargetMode="External"/><Relationship Id="rIddpfz4v_u4dbzpktfzq5vt" Type="http://schemas.openxmlformats.org/officeDocument/2006/relationships/hyperlink" Target="https://dalil.kg/document/158785#pr1" TargetMode="External"/><Relationship Id="rIdwl6m66q9300frlcwdjuki" Type="http://schemas.openxmlformats.org/officeDocument/2006/relationships/hyperlink" Target="https://dalil.kg/document/158785#pr1" TargetMode="External"/><Relationship Id="rIdvbvjy6x12nyhtsudlduu_" Type="http://schemas.openxmlformats.org/officeDocument/2006/relationships/hyperlink" Target="https://dalil.kg/document/158785#pr1" TargetMode="External"/><Relationship Id="rIdma-z8c_tff-jku-_j-zoe" Type="http://schemas.openxmlformats.org/officeDocument/2006/relationships/hyperlink" Target="https://dalil.kg/document/158785#pr1" TargetMode="External"/><Relationship Id="rIdvdpjd-0fukhpqeppolh_m" Type="http://schemas.openxmlformats.org/officeDocument/2006/relationships/hyperlink" Target="https://dalil.kg/document/158785#pr1" TargetMode="External"/><Relationship Id="rIdead6jdoipapvbs4qaci4s" Type="http://schemas.openxmlformats.org/officeDocument/2006/relationships/hyperlink" Target="https://dalil.kg/document/158785#pr1" TargetMode="External"/><Relationship Id="rIdvjbe17_cb9xq_daphkutq" Type="http://schemas.openxmlformats.org/officeDocument/2006/relationships/hyperlink" Target="https://dalil.kg/document/158785#pr1" TargetMode="External"/><Relationship Id="rIdnjay9kyovukeff1ppg8rv" Type="http://schemas.openxmlformats.org/officeDocument/2006/relationships/hyperlink" Target="https://dalil.kg/document/158785#pr1" TargetMode="External"/><Relationship Id="rIdhtiivtnm6ugtc6dkh0clg" Type="http://schemas.openxmlformats.org/officeDocument/2006/relationships/hyperlink" Target="https://dalil.kg/document/158785#pr1"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whyexcu9rf4m2totrert" Type="http://schemas.openxmlformats.org/officeDocument/2006/relationships/hyperlink" Target="https://dalil.kg/document/230005066" TargetMode="External"/><Relationship Id="rIdwktsagu3o6yjfumvzzl_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2026-10-01T00:31:32.038Z</dcterms:created>
  <dcterms:modified xsi:type="dcterms:W3CDTF">2026-10-01T00:31:32.038Z</dcterms:modified>
</cp:coreProperties>
</file>

<file path=docProps/custom.xml><?xml version="1.0" encoding="utf-8"?>
<Properties xmlns="http://schemas.openxmlformats.org/officeDocument/2006/custom-properties" xmlns:vt="http://schemas.openxmlformats.org/officeDocument/2006/docPropsVTypes"/>
</file>