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uhb9kronctzvrooii8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 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qtwsxhskqtzwh2lyxm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 аппаратов: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 группа - районы с отдаленными, труднодоступными высокогорными селами, имеющие особый приграничный статус, количество которых составляет более 50% от общего количества имеющихся 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группа - районы,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ограниченный набор показателей, характеризующих результаты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оцениваются результаты деятельности по выделенным показателям, а не процессы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сравнимости сопоставимых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официально публикуемых Национальным статистическим комитетом Кыргызской Республики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на основе анализа четырех ключевых аспектов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экономические показатели, характеризующие развитие экономики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социальные показатели, характеризующие развитие социальной сферы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управления (исполнительская дисциплина);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значения "Индекс доверия населения" (ИДН), проводимого Национальным статистическим комитетом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приведены в таблицах 1-2.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
  аппарата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4567"/>
        <w:gridCol w:w="930"/>
        <w:gridCol w:w="2320"/>
        <w:gridCol w:w="1881"/>
      </w:tblGrid>
      <w:tr>
        <w:tc>
          <w:tcPr>
            <w:tcW w:type="dxa" w:w="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9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численности официально зарегистрированных безработных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АИС "Санарип аймак"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местных государственных администраций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 аппарата
  полномочных представителей Президента Кыргызской Республики в областях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_2jpruqqnn53xjo2j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99"/>
        <w:gridCol w:w="1242"/>
        <w:gridCol w:w="2077"/>
        <w:gridCol w:w="187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региональный продукт (ВРП)(1)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(в текущих ценах) на душу населения(1)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ВВП(1)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притока прямых иностранных инвестиций(2)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рыночных услуг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 (периоду)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регистраций товарных знаков, географических указаний в рамках политики продвижения регионального брендирования и повышение уровня изобретательской активности регионов как элемента инновационного развития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124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неформальном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неформальном секторе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численности занятого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официально зарегистрированных безработных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численности населения АИС "Санарип аймак"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полномочных представителей Президента Кыргызской Республики в областях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данные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данные за 9 месяцев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данные за январь-декабрь без учета малых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прогнозных (плановых) значений</w:t>
      </w:r>
      <w:r>
        <w:rPr>
          <w:rFonts w:ascii="Arial" w:cs="Arial" w:eastAsia="Arial" w:hAnsi="Arial"/>
          <w:sz w:val="24"/>
          <w:szCs w:val="24"/>
        </w:rPr>
        <w:t xml:space="preserve"> индикаторов оценки в соответствии с системой мониторинга показателей социально-экономического развития регионов Кыргызской Республики утвержденной распоряжением Правительства Кыргызской Республики от 28 октября 2020 года № 354-р, аппаратов полномочных представителей Президента Кыргызской Республики в областях и местных государственных администраций на отчетный период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фактических значений</w:t>
      </w:r>
      <w:r>
        <w:rPr>
          <w:rFonts w:ascii="Arial" w:cs="Arial" w:eastAsia="Arial" w:hAnsi="Arial"/>
          <w:sz w:val="24"/>
          <w:szCs w:val="24"/>
        </w:rPr>
        <w:t xml:space="preserve"> достижения индикаторов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унифицированных форм отчетности</w:t>
      </w:r>
      <w:r>
        <w:rPr>
          <w:rFonts w:ascii="Arial" w:cs="Arial" w:eastAsia="Arial" w:hAnsi="Arial"/>
          <w:sz w:val="24"/>
          <w:szCs w:val="24"/>
        </w:rPr>
        <w:t xml:space="preserve"> о результатах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эффективности деятельности
  аппаратов 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5"/>
        <w:gridCol w:w="1745"/>
        <w:gridCol w:w="1560"/>
        <w:gridCol w:w="1560"/>
        <w:gridCol w:w="1454"/>
        <w:gridCol w:w="2115"/>
      </w:tblGrid>
      <w:tr>
        <w:tc>
          <w:tcPr>
            <w:tcW w:type="dxa" w:w="1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(НИ)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3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показателей, указанных в таблицах 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полномочных представителей Президента Кыргызской Республики в областях и местных государственных администраций" и "Качество управления" принимаются равными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значение Индекса доверия населения (далее - ИДН) определяется Национальным институтом стратегических исследований при Президенте Кыргызской Республики по итогам результатов опроса населения, а также обработки данных для получения результатов измерения "Индекса доверия населения", проводимого Национальным статистическим комитетом Кыргызской Республики в соответствии с Положением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самоуправления, утвержденным постановлением Кабинета Министров Кыргызской Республики от 13 сентября 2023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таблицы 3 степень достижения каждого индикатора оценки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n = ФЗИ n / ПЗИ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 для отдельных индикаторов получается больше единицы, то в дальнейших расчетах их СДИ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(например, планировалось "уменьшение", а фактически получилось "увеличение",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оценки показателя результативности (ОПР) рассчитывается путем сложения соответствующих ему значений СДИ по формуле и деления полученной суммы на число индикаторов: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 1 + СДИ 2 + ... + СДИ n) /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ОПР находится в пределах от 0 до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значения оценки деятельности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1 (в соответствии с таблицей 3) умножить на 45 (максимальное значение баллов для экономических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значение ОПР 2 (в соответствии с таблицей 3) умножить на 20 (максимальное значение баллов для социальных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полученное значение ОПР 3 умножить на 15 (максимальное значение баллов для управленческих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полученное расчетное значение ОПР 4 умножить на 20 (максимальное значение баллов для ИДН в соответствии с таблицей 1) и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сложить значение баллов по подпунктам 1-4 настоящего пункта. Полученная сумма будет числовым значением показателя оценки в баллах. Значение данного показателя заносится в таблицу 4 в графу "Итоговое значение оценки".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форм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заполнения форм отчетности результатов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используется таблица 4.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эффективности деятельности аппаратов
  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927"/>
        <w:gridCol w:w="3172"/>
        <w:gridCol w:w="2055"/>
        <w:gridCol w:w="2708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1, рассчитанное в соответствии с таблицей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аппаратов полномочных представителей Президента Кыргызской Республики в областях и местных государственных администраций
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набранными баллами вводится квалификация полученных оценок и числовое значение показателя оценки эффективности аппаратов полномочных представителей Президента Кыргызской Республики в областях и местных государственных администраций согласно таблице 5.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9"/>
        <w:gridCol w:w="5509"/>
      </w:tblGrid>
      <w:tr>
        <w:tc>
          <w:tcPr>
            <w:tcW w:type="dxa" w:w="4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5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оценки формируются таблицы рейтингов аппаратов полномочных представителей Президента Кыргызской Республики в областях и местных государственных администраций согласно таблицам 6-8.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полномочных представителей
  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4471"/>
        <w:gridCol w:w="2799"/>
        <w:gridCol w:w="2710"/>
      </w:tblGrid>
      <w:tr>
        <w:tc>
          <w:tcPr>
            <w:tcW w:type="dxa" w:w="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полномочного представителя Президента Кыргызской Республики в области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1 (районы с отдаленными, труднодоступными
  высокогорными селами и селами, имеющими особый приграничный статус)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"/>
        <w:gridCol w:w="4207"/>
        <w:gridCol w:w="2662"/>
        <w:gridCol w:w="3110"/>
      </w:tblGrid>
      <w:tr>
        <w:tc>
          <w:tcPr>
            <w:tcW w:type="dxa" w:w="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2 (районы, не входящие в 1 группу)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"/>
        <w:gridCol w:w="4211"/>
        <w:gridCol w:w="2754"/>
        <w:gridCol w:w="3013"/>
      </w:tblGrid>
      <w:tr>
        <w:tc>
          <w:tcPr>
            <w:tcW w:type="dxa" w:w="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Комиссия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проводит определение мест в рейтинге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Рейтинги подлежат публикации в средствах массовой информации, на сайтах Министерства экономики и коммерции Кыргызской Республики и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Использованные обозначения и сокращения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 - Администрация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 -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 -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интеллектуальной собственности и инновациям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СЭН при МЭ</w:t>
      </w:r>
      <w:r>
        <w:rPr>
          <w:rFonts w:ascii="Arial" w:cs="Arial" w:eastAsia="Arial" w:hAnsi="Arial"/>
          <w:sz w:val="24"/>
          <w:szCs w:val="24"/>
        </w:rPr>
        <w:t xml:space="preserve"> - Служба по энергетическому надзору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СЭТН при МПРЭТН</w:t>
      </w:r>
      <w:r>
        <w:rPr>
          <w:rFonts w:ascii="Arial" w:cs="Arial" w:eastAsia="Arial" w:hAnsi="Arial"/>
          <w:sz w:val="24"/>
          <w:szCs w:val="24"/>
        </w:rPr>
        <w:t xml:space="preserve"> -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 - Национальный институт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 в областях - полномочные представители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m_m6tkxpkagdvhu7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dalil.kg/document/230005418</w:t>
      </w:r>
    </w:hyperlink>
  </w:p>
  <w:p>
    <w:pPr>
      <w:spacing w:after="0" w:before="40"/>
      <w:jc w:val="center"/>
    </w:pPr>
    <w:hyperlink w:history="1" r:id="rId44ogz07g2ketfe4tvvq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hb9kronctzvrooii8gl" Type="http://schemas.openxmlformats.org/officeDocument/2006/relationships/hyperlink" Target="https://dalil.kg/document/230046773" TargetMode="External"/><Relationship Id="rIdlqtwsxhskqtzwh2lyxmkz" Type="http://schemas.openxmlformats.org/officeDocument/2006/relationships/hyperlink" Target="https://dalil.kg/document/230016343" TargetMode="External"/><Relationship Id="rIdex_2jpruqqnn53xjo2jjh" Type="http://schemas.openxmlformats.org/officeDocument/2006/relationships/hyperlink" Target="https://dalil.kg/document/230016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m_m6tkxpkagdvhu7wb" Type="http://schemas.openxmlformats.org/officeDocument/2006/relationships/hyperlink" Target="https://dalil.kg/document/230005418" TargetMode="External"/><Relationship Id="rId44ogz07g2ketfe4tvvq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2026-09-24T08:51:07.839Z</dcterms:created>
  <dcterms:modified xsi:type="dcterms:W3CDTF">2026-09-24T08:51:07.839Z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