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12 апреля 2024 года № 176</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государственной поддержки развития дошкольного образования" от 14 августа 2023 года № 415</w:t>
      </w:r>
    </w:p>
    <w:p>
      <w:pPr>
        <w:spacing w:after="60"/>
        <w:ind w:firstLine="567"/>
        <w:jc w:val="both"/>
      </w:pPr>
      <w:r>
        <w:rPr>
          <w:rFonts w:ascii="Arial" w:cs="Arial" w:eastAsia="Arial" w:hAnsi="Arial"/>
          <w:sz w:val="24"/>
          <w:szCs w:val="24"/>
        </w:rPr>
        <w:t xml:space="preserve">В целях реализации </w:t>
      </w:r>
      <w:hyperlink w:history="1" r:id="rId0bu791sts-fna1vhgtj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со статьями </w:t>
      </w:r>
      <w:hyperlink w:history="1" r:id="rIdbnqffueor7admhizv5f13">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2snvhi7udp_er2766tb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a6w-by01gmsabfrleim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государственной поддержки развития дошкольного образования" от 14 августа 2023 года № 415 следующие изменения:</w:t>
      </w:r>
    </w:p>
    <w:p>
      <w:pPr>
        <w:spacing w:after="60"/>
        <w:ind w:firstLine="567"/>
        <w:jc w:val="both"/>
      </w:pPr>
      <w:r>
        <w:rPr>
          <w:rFonts w:ascii="Arial" w:cs="Arial" w:eastAsia="Arial" w:hAnsi="Arial"/>
          <w:sz w:val="24"/>
          <w:szCs w:val="24"/>
        </w:rPr>
        <w:t xml:space="preserve">1) в подпункте 2 пункта 3 слова "коммерческими банками" заменить словами "открытыми акционерными обществами "РСК Банк", "Айыл Банк", "Керемет Банк" (далее - банки)";</w:t>
      </w:r>
    </w:p>
    <w:p>
      <w:pPr>
        <w:spacing w:after="60"/>
        <w:ind w:firstLine="567"/>
        <w:jc w:val="both"/>
      </w:pPr>
      <w:r>
        <w:rPr>
          <w:rFonts w:ascii="Arial" w:cs="Arial" w:eastAsia="Arial" w:hAnsi="Arial"/>
          <w:sz w:val="24"/>
          <w:szCs w:val="24"/>
        </w:rPr>
        <w:t xml:space="preserve">2) в подпункте 2 пункта 4 слова "коммерческими банками" заменить словом "банками";</w:t>
      </w:r>
    </w:p>
    <w:p>
      <w:pPr>
        <w:spacing w:after="60"/>
        <w:ind w:firstLine="567"/>
        <w:jc w:val="both"/>
      </w:pPr>
      <w:r>
        <w:rPr>
          <w:rFonts w:ascii="Arial" w:cs="Arial" w:eastAsia="Arial" w:hAnsi="Arial"/>
          <w:sz w:val="24"/>
          <w:szCs w:val="24"/>
        </w:rPr>
        <w:t xml:space="preserve">3) </w:t>
      </w:r>
      <w:hyperlink w:history="1" r:id="rId1vqtwugbwyegazqwnyar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"Льготное кредитование для развития дошкольного образования", утвержденный вышеуказанным постановлением, изложить в редакции согласно </w:t>
      </w:r>
      <w:hyperlink w:history="1" r:id="rIdgmll72a6m9gv2ebmswtk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официальном государственном газете "Эркин Тоо" от 19 апреля 2024 года № 30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Проект
 "Льготное кредитование для развития дошкольного образования"</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(далее - Проект) является оказание государственной поддержки субъектам предпринимательства и физическим лицам Кыргызской Республики.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2024-2025 и последующие годы, средства открытых акционерных обществ "РСК Банк", "Айыл Банк", "Керемет Банк" (далее - банки).</w:t>
      </w:r>
    </w:p>
    <w:p>
      <w:pPr>
        <w:spacing w:after="60"/>
        <w:ind w:firstLine="567"/>
        <w:jc w:val="both"/>
      </w:pPr>
      <w:r>
        <w:rPr>
          <w:rFonts w:ascii="Arial" w:cs="Arial" w:eastAsia="Arial" w:hAnsi="Arial"/>
          <w:sz w:val="24"/>
          <w:szCs w:val="24"/>
        </w:rPr>
        <w:t xml:space="preserve">4. Начало реализации Проекта - январь 2024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образования и науки Кыргызской Республики, Государственное агентство архитектуры, строительства и жилищно-коммунального хозяйства при Кабинете Министров Кыргызской Республики (по согласованию), банки (по согласованию),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2024 года финансовые средства банков будут предоставляться субъектам предпринимательства и физическим лицам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6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2024-2028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внутренним нормативным документам банков и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проведения капитального ремонта/реконструкции, а также приобретения и обновления основных средств в рамках настоящего Проекта с участием гарантий открытого акционерного общества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следующих основных общих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2447"/>
        <w:gridCol w:w="7454"/>
      </w:tblGrid>
      <w:tr>
        <w:tc>
          <w:tcPr>
            <w:tcW w:type="dxa" w:w="2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7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1)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2)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3) приобретение и обновление основных средств на сумму до 10,0 млн. сомов, сроком на 36 месяцев</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w:t>
            </w:r>
            <w:r>
              <w:rPr>
                <w:rFonts w:ascii="Arial" w:cs="Arial" w:eastAsia="Arial" w:hAnsi="Arial"/>
                <w:sz w:val="24"/>
                <w:szCs w:val="24"/>
              </w:rPr>
              <w:t xml:space="preserve">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счет-фактур, накладных и других документов, подтверждающих факт приобретения или обновления</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надлежащим образом зарегистрированное во всех государственных органах Кыргызской Республики,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образования и науки Кыргызской Республики.</w:t>
            </w:r>
            <w:r>
              <w:rPr>
                <w:rFonts w:ascii="Arial" w:cs="Arial" w:eastAsia="Arial" w:hAnsi="Arial"/>
                <w:sz w:val="24"/>
                <w:szCs w:val="24"/>
              </w:rPr>
              <w:t xml:space="preserve">3. Наличие собственных средств в размере до 30%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банки вправе устанавливать дополнительные требования к заемщикам.</w:t>
      </w:r>
    </w:p>
    <w:p>
      <w:pPr>
        <w:spacing w:after="6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6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с заявлением о получении гарантии на условиях, заключенных между банком и Гарантийным фондом.</w:t>
      </w:r>
    </w:p>
    <w:p>
      <w:pPr>
        <w:spacing w:after="200" w:before="200"/>
        <w:jc w:val="center"/>
      </w:pPr>
      <w:r>
        <w:rPr>
          <w:rFonts w:ascii="Arial" w:cs="Arial" w:eastAsia="Arial" w:hAnsi="Arial"/>
          <w:b/>
          <w:bCs/>
          <w:sz w:val="32"/>
          <w:szCs w:val="32"/>
        </w:rPr>
        <w:t xml:space="preserve">Глава 2. Описание реализации Проекта</w:t>
      </w:r>
    </w:p>
    <w:p>
      <w:pPr>
        <w:spacing w:after="6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11,41 процента годовых.</w:t>
      </w:r>
    </w:p>
    <w:p>
      <w:pPr>
        <w:spacing w:after="6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образования и науки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16. Для получения субсидий в рамках Проекта банки ежеквартально представляют в Министерство финансов Кыргызской Республики заявку на субсидирование с указанием фактической суммы кредитования за прошедший квартал.</w:t>
      </w:r>
    </w:p>
    <w:p>
      <w:pPr>
        <w:spacing w:after="6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квартал для перечисления банкам транша субсидий.</w:t>
      </w:r>
    </w:p>
    <w:p>
      <w:pPr>
        <w:spacing w:after="6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образования и науки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3. Расчет субсидий</w:t>
      </w:r>
    </w:p>
    <w:p>
      <w:pPr>
        <w:spacing w:after="6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2022 год:</w:t>
      </w:r>
    </w:p>
    <w:p>
      <w:pPr>
        <w:spacing w:after="60"/>
        <w:ind w:firstLine="567"/>
        <w:jc w:val="both"/>
      </w:pPr>
      <w:r>
        <w:rPr>
          <w:rFonts w:ascii="Arial" w:cs="Arial" w:eastAsia="Arial" w:hAnsi="Arial"/>
          <w:sz w:val="24"/>
          <w:szCs w:val="24"/>
        </w:rPr>
        <w:t xml:space="preserve">1) ставка субсидирования составляет 11,41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31,84. Из них часть субсидий перечисляется в 2024 году по расчетному коэффициенту 10,28; часть - в 2025 году по расчетному коэффициенту 9,84; часть - в 2026 году по расчетному коэффициенту 6,44; часть - в 2027 году по расчетному коэффициенту 3,91; часть - в 2028 году по расчетному коэффициенту 1,37;</w:t>
      </w:r>
    </w:p>
    <w:p>
      <w:pPr>
        <w:spacing w:after="6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20,44. Из них часть субсидий перечисляется в 2024 году по расчетному коэффициенту 10,14; часть - в 2025 году по расчетному коэффициенту 7,83; часть - в 2026 году по расчетному коэффициенту 2,47.</w:t>
      </w:r>
    </w:p>
    <w:p>
      <w:pPr>
        <w:spacing w:after="6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для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6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00" w:before="200"/>
        <w:jc w:val="center"/>
      </w:pPr>
      <w:r>
        <w:rPr>
          <w:rFonts w:ascii="Arial" w:cs="Arial" w:eastAsia="Arial" w:hAnsi="Arial"/>
          <w:b/>
          <w:bCs/>
          <w:sz w:val="32"/>
          <w:szCs w:val="32"/>
        </w:rPr>
        <w:t xml:space="preserve">Глава 4. Перечисление субсидий</w:t>
      </w:r>
    </w:p>
    <w:p>
      <w:pPr>
        <w:spacing w:after="6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6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субсидии по таким кредитам в Министерство финансов Кыргызской Республики.</w:t>
      </w:r>
    </w:p>
    <w:p>
      <w:pPr>
        <w:spacing w:after="200" w:before="200"/>
        <w:jc w:val="center"/>
      </w:pPr>
      <w:r>
        <w:rPr>
          <w:rFonts w:ascii="Arial" w:cs="Arial" w:eastAsia="Arial" w:hAnsi="Arial"/>
          <w:b/>
          <w:bCs/>
          <w:sz w:val="32"/>
          <w:szCs w:val="32"/>
        </w:rPr>
        <w:t xml:space="preserve">Глава 5. Риски и угрозы</w:t>
      </w:r>
    </w:p>
    <w:p>
      <w:pPr>
        <w:spacing w:after="6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6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ihut0im7tfcgjig6ceo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zaz1qpotfaisgbzqzsp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6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60"/>
        <w:ind w:firstLine="567"/>
        <w:jc w:val="both"/>
      </w:pPr>
      <w:r>
        <w:rPr>
          <w:rFonts w:ascii="Arial" w:cs="Arial" w:eastAsia="Arial" w:hAnsi="Arial"/>
          <w:sz w:val="24"/>
          <w:szCs w:val="24"/>
        </w:rPr>
        <w:t xml:space="preserve">31.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32. Риск неполного исполнения обязательств со стороны Кабинета Министров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суммы первого транша субсидий из республиканского бюджета на расчетные счета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33.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0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34. Мониторинг целевого использования кредитных средств будет осуществляться банками следующим образом:</w:t>
      </w:r>
    </w:p>
    <w:p>
      <w:pPr>
        <w:spacing w:after="6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6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6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3)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35. В целях проведения оценки эффективности использования кредитных средств (до и после выдачи кредита) банки совместно с Министерством образования и науки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60"/>
        <w:ind w:firstLine="567"/>
        <w:jc w:val="both"/>
      </w:pPr>
      <w:r>
        <w:rPr>
          <w:rFonts w:ascii="Arial" w:cs="Arial" w:eastAsia="Arial" w:hAnsi="Arial"/>
          <w:sz w:val="24"/>
          <w:szCs w:val="24"/>
        </w:rPr>
        <w:t xml:space="preserve">- процент завершенности строительства/реконструкции или капитального ремонта (при строительстве, реконструкции/капитальном ремонте);</w:t>
      </w:r>
    </w:p>
    <w:p>
      <w:pPr>
        <w:spacing w:after="60"/>
        <w:ind w:firstLine="567"/>
        <w:jc w:val="both"/>
      </w:pPr>
      <w:r>
        <w:rPr>
          <w:rFonts w:ascii="Arial" w:cs="Arial" w:eastAsia="Arial" w:hAnsi="Arial"/>
          <w:sz w:val="24"/>
          <w:szCs w:val="24"/>
        </w:rPr>
        <w:t xml:space="preserve">- обновлены или приобретены основные средства (при приобретении или обновлении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Министерством образования и науки Кыргызской Республики в двухнедельный срок оформляется отчет.</w:t>
      </w:r>
    </w:p>
    <w:p>
      <w:pPr>
        <w:spacing w:after="60"/>
        <w:ind w:firstLine="567"/>
        <w:jc w:val="both"/>
      </w:pPr>
      <w:r>
        <w:rPr>
          <w:rFonts w:ascii="Arial" w:cs="Arial" w:eastAsia="Arial" w:hAnsi="Arial"/>
          <w:sz w:val="24"/>
          <w:szCs w:val="24"/>
        </w:rPr>
        <w:t xml:space="preserve">36.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00" w:before="200"/>
        <w:jc w:val="center"/>
      </w:pPr>
      <w:r>
        <w:rPr>
          <w:rFonts w:ascii="Arial" w:cs="Arial" w:eastAsia="Arial" w:hAnsi="Arial"/>
          <w:b/>
          <w:bCs/>
          <w:sz w:val="32"/>
          <w:szCs w:val="32"/>
        </w:rPr>
        <w:t xml:space="preserve">Глава 7. Оценка эффективности Проекта</w:t>
      </w:r>
    </w:p>
    <w:p>
      <w:pPr>
        <w:spacing w:after="60"/>
        <w:ind w:firstLine="567"/>
        <w:jc w:val="both"/>
      </w:pPr>
      <w:r>
        <w:rPr>
          <w:rFonts w:ascii="Arial" w:cs="Arial" w:eastAsia="Arial" w:hAnsi="Arial"/>
          <w:sz w:val="24"/>
          <w:szCs w:val="24"/>
        </w:rPr>
        <w:t xml:space="preserve">37. Заемщики обязаны:</w:t>
      </w:r>
    </w:p>
    <w:p>
      <w:pPr>
        <w:spacing w:after="60"/>
        <w:ind w:firstLine="567"/>
        <w:jc w:val="both"/>
      </w:pPr>
      <w:r>
        <w:rPr>
          <w:rFonts w:ascii="Arial" w:cs="Arial" w:eastAsia="Arial" w:hAnsi="Arial"/>
          <w:sz w:val="24"/>
          <w:szCs w:val="24"/>
        </w:rPr>
        <w:t xml:space="preserve">- после ввода в эксплуатацию здания дошкольной образовательной организации каждый год до дня погашения кредита предоставлять отчет в Министерство образования и науки Кыргызской Республики (целевое использование здания, окупаемость и т.д.);</w:t>
      </w:r>
    </w:p>
    <w:p>
      <w:pPr>
        <w:spacing w:after="60"/>
        <w:ind w:firstLine="567"/>
        <w:jc w:val="both"/>
      </w:pPr>
      <w:r>
        <w:rPr>
          <w:rFonts w:ascii="Arial" w:cs="Arial" w:eastAsia="Arial" w:hAnsi="Arial"/>
          <w:sz w:val="24"/>
          <w:szCs w:val="24"/>
        </w:rPr>
        <w:t xml:space="preserve">-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38. В целях оценки эффективности Проекта Министерством образования и науки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6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6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6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6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 образования и науки Кыргызской Республики оформляет отчет и не позднее 1 декабря представляет в Администрацию Президента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hzqr72hzedv2oqpoweg">
      <w:r>
        <w:rPr>
          <w:rFonts w:ascii="Arial" w:cs="Arial" w:eastAsia="Arial" w:hAnsi="Arial"/>
          <w:color w:val="132D3F"/>
          <w:sz w:val="16"/>
          <w:szCs w:val="16"/>
          <w:u w:val="single"/>
        </w:rPr>
        <w:t xml:space="preserve">dalil.kg/document/230005673</w:t>
      </w:r>
    </w:hyperlink>
  </w:p>
  <w:p>
    <w:pPr>
      <w:spacing w:after="0" w:before="40"/>
      <w:jc w:val="center"/>
    </w:pPr>
    <w:hyperlink w:history="1" r:id="rId0s4cxm0s6eoho8oldad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u791sts-fna1vhgtjon" Type="http://schemas.openxmlformats.org/officeDocument/2006/relationships/hyperlink" Target="https://dalil.kg/document/112665" TargetMode="External"/><Relationship Id="rIdbnqffueor7admhizv5f13" Type="http://schemas.openxmlformats.org/officeDocument/2006/relationships/hyperlink" Target="https://dalil.kg/document/112301#st_13" TargetMode="External"/><Relationship Id="rIdc2snvhi7udp_er2766tbt" Type="http://schemas.openxmlformats.org/officeDocument/2006/relationships/hyperlink" Target="https://dalil.kg/document/112301#st_17" TargetMode="External"/><Relationship Id="rIda6w-by01gmsabfrleimbd" Type="http://schemas.openxmlformats.org/officeDocument/2006/relationships/hyperlink" Target="https://dalil.kg/document/160380" TargetMode="External"/><Relationship Id="rId1vqtwugbwyegazqwnyarf" Type="http://schemas.openxmlformats.org/officeDocument/2006/relationships/hyperlink" Target="https://dalil.kg/document/160380#pr1" TargetMode="External"/><Relationship Id="rIdgmll72a6m9gv2ebmswtkt" Type="http://schemas.openxmlformats.org/officeDocument/2006/relationships/hyperlink" Target="https://dalil.kg/document/230005673#pr" TargetMode="External"/><Relationship Id="rIdihut0im7tfcgjig6ceovi" Type="http://schemas.openxmlformats.org/officeDocument/2006/relationships/hyperlink" Target="https://dalil.kg/document/157146" TargetMode="External"/><Relationship Id="rIdyzaz1qpotfaisgbzqzspi" Type="http://schemas.openxmlformats.org/officeDocument/2006/relationships/hyperlink" Target="https://dalil.kg/document/15714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hzqr72hzedv2oqpoweg" Type="http://schemas.openxmlformats.org/officeDocument/2006/relationships/hyperlink" Target="https://dalil.kg/document/230005673" TargetMode="External"/><Relationship Id="rId0s4cxm0s6eoho8oldad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2026-09-25T21:11:03.453Z</dcterms:created>
  <dcterms:modified xsi:type="dcterms:W3CDTF">2026-09-25T21:11:03.453Z</dcterms:modified>
</cp:coreProperties>
</file>

<file path=docProps/custom.xml><?xml version="1.0" encoding="utf-8"?>
<Properties xmlns="http://schemas.openxmlformats.org/officeDocument/2006/custom-properties" xmlns:vt="http://schemas.openxmlformats.org/officeDocument/2006/docPropsVTypes"/>
</file>