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2024 года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порядка взаимодействия государственных органов и органов местного самоуправления по работе с молодежью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 </w:t>
      </w:r>
      <w:hyperlink w:history="1" r:id="rIdnzhfgzu-wmss3f0pnr6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молодежи", в соответствии со статьями </w:t>
      </w:r>
      <w:hyperlink w:history="1" r:id="rIdphsorpjly_edspu27ty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wvdjfqk5disg8af2o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Типовой порядок</w:t>
      </w:r>
      <w:r>
        <w:rPr>
          <w:rFonts w:ascii="Arial" w:cs="Arial" w:eastAsia="Arial" w:hAnsi="Arial"/>
          <w:sz w:val="24"/>
          <w:szCs w:val="24"/>
        </w:rPr>
        <w:t xml:space="preserve"> взаимодействия государственных органов и органов местного самоуправления по работе с молодежью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Реализовать мероприятия, вытекающие из настоящего постановления, в пределах бюджетов задействованных министерств, ведомств и органов местного самоуправления (по согласованию), утвержденных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мая 2024 года № 39 (3592).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bh9du2ijv40d9swpb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dalil.kg/document/230006674</w:t>
      </w:r>
    </w:hyperlink>
  </w:p>
  <w:p>
    <w:pPr>
      <w:spacing w:after="0" w:before="40"/>
      <w:jc w:val="center"/>
    </w:pPr>
    <w:hyperlink w:history="1" r:id="rIdxnqa6-kb1hxef80dmz4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hfgzu-wmss3f0pnr6fg" Type="http://schemas.openxmlformats.org/officeDocument/2006/relationships/hyperlink" Target="https://dalil.kg/document/112637#st_8" TargetMode="External"/><Relationship Id="rIdphsorpjly_edspu27tyo0" Type="http://schemas.openxmlformats.org/officeDocument/2006/relationships/hyperlink" Target="https://dalil.kg/document/112302#st_13" TargetMode="External"/><Relationship Id="rIdvewvdjfqk5disg8af2o4c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bh9du2ijv40d9swpbwn" Type="http://schemas.openxmlformats.org/officeDocument/2006/relationships/hyperlink" Target="https://dalil.kg/document/230006674" TargetMode="External"/><Relationship Id="rIdxnqa6-kb1hxef80dmz4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2026-09-28T02:22:56.969Z</dcterms:created>
  <dcterms:modified xsi:type="dcterms:W3CDTF">2026-09-28T02:22:56.969Z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