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wkzq31bj-bbmvf7myoj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2025 года № 282</w:t>
      </w:r>
    </w:p>
    <w:p>
      <w:pPr>
        <w:spacing w:after="3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от 28 мая 2024 года № 265</w:t>
      </w:r>
    </w:p>
    <w:p>
      <w:pPr>
        <w:spacing w:after="400" w:before="4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qjsqtta0oozhnzkscp2ue">
        <w:r>
          <w:rPr>
            <w:rFonts w:ascii="Arial" w:cs="Arial" w:eastAsia="Arial" w:hAnsi="Arial"/>
            <w:i/>
            <w:iCs/>
            <w:color w:val="1D4ED8"/>
            <w:sz w:val="24"/>
            <w:szCs w:val="24"/>
            <w:u w:val="single"/>
          </w:rPr>
          <w:t xml:space="preserve">6 июля 2024 года № 367, </w:t>
        </w:r>
      </w:hyperlink>
      <w:hyperlink w:history="1" r:id="rIdxfd2-qwiddyme7u28okcq">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2024/2025 года,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Министерствам, государственному комитету, административным ведомствам, государственному предприятию "Кыргызкомур" при Министерстве энергетики Кыргызской Республики (далее - ГП "Кыргызкомур"), муниципальным теплоснабжающим предприятиям, аппаратам полномочных представителей Президента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"Электрические станции", "Национальная электрическая сеть Кыргызстана", "Кыргызский энергетический расчетный центр", "Чакан ГЭС", "Кыргызнефтегаз", обществу с ограниченной ответственностью (далее - ОсОО) "Газпром Кыргызстан" и Ошскому муниципальному предприятию "Теплоснабжение":</w:t>
      </w:r>
    </w:p>
    <w:p>
      <w:pPr>
        <w:spacing w:after="120"/>
        <w:ind w:firstLine="567"/>
        <w:jc w:val="both"/>
      </w:pPr>
      <w:r>
        <w:rPr>
          <w:rFonts w:ascii="Arial" w:cs="Arial" w:eastAsia="Arial" w:hAnsi="Arial"/>
          <w:sz w:val="24"/>
          <w:szCs w:val="24"/>
        </w:rPr>
        <w:t xml:space="preserve">1) обеспечить выполнение лимитов потребления электроэнергии и мощности, графиков и заданий согласно приложениям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 двухнедельный срок разработать организационно-технические мероприятия по подготовке к предстоящему осеннее-зимнему периоду с учетом результатов прохождения отопительного периода 2023/2024 года;</w:t>
      </w:r>
    </w:p>
    <w:p>
      <w:pPr>
        <w:spacing w:after="120"/>
        <w:ind w:firstLine="567"/>
        <w:jc w:val="both"/>
      </w:pPr>
      <w:r>
        <w:rPr>
          <w:rFonts w:ascii="Arial" w:cs="Arial" w:eastAsia="Arial" w:hAnsi="Arial"/>
          <w:sz w:val="24"/>
          <w:szCs w:val="24"/>
        </w:rPr>
        <w:t xml:space="preserve">3) в недельный срок создать в областях, городах Бишкек и Ош постоянно действующие штабы по подготовке к осенне-зимнему периоду для ежемесячного мониторинга хода подготовки к отопительному периоду, в первую очередь вопросов:</w:t>
      </w:r>
    </w:p>
    <w:p>
      <w:pPr>
        <w:spacing w:after="120"/>
        <w:ind w:firstLine="567"/>
        <w:jc w:val="both"/>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spacing w:after="120"/>
        <w:ind w:firstLine="567"/>
        <w:jc w:val="both"/>
      </w:pPr>
      <w:r>
        <w:rPr>
          <w:rFonts w:ascii="Arial" w:cs="Arial" w:eastAsia="Arial" w:hAnsi="Arial"/>
          <w:sz w:val="24"/>
          <w:szCs w:val="24"/>
        </w:rPr>
        <w:t xml:space="preserve">- о качестве подготовки социальных объектов к отопительному периоду;</w:t>
      </w:r>
    </w:p>
    <w:p>
      <w:pPr>
        <w:spacing w:after="120"/>
        <w:ind w:firstLine="567"/>
        <w:jc w:val="both"/>
      </w:pPr>
      <w:r>
        <w:rPr>
          <w:rFonts w:ascii="Arial" w:cs="Arial" w:eastAsia="Arial" w:hAnsi="Arial"/>
          <w:sz w:val="24"/>
          <w:szCs w:val="24"/>
        </w:rPr>
        <w:t xml:space="preserve">- о создании дополнительных топливных баз;</w:t>
      </w:r>
    </w:p>
    <w:p>
      <w:pPr>
        <w:spacing w:after="120"/>
        <w:ind w:firstLine="567"/>
        <w:jc w:val="both"/>
      </w:pPr>
      <w:r>
        <w:rPr>
          <w:rFonts w:ascii="Arial" w:cs="Arial" w:eastAsia="Arial" w:hAnsi="Arial"/>
          <w:sz w:val="24"/>
          <w:szCs w:val="24"/>
        </w:rPr>
        <w:t xml:space="preserve">4)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Службы по энергетическому надзору при Министерстве энергетики Кыргызской Республики и Службы экологического и технического надзора при Министерстве природных ресурсов, экологии и технического надзора Кыргызской Республики (для учреждений, имеющих на балансе отопительные котельные и другие виды теплоэнергетического оборудования);</w:t>
      </w:r>
    </w:p>
    <w:p>
      <w:pPr>
        <w:spacing w:after="120"/>
        <w:ind w:firstLine="567"/>
        <w:jc w:val="both"/>
      </w:pPr>
      <w:r>
        <w:rPr>
          <w:rFonts w:ascii="Arial" w:cs="Arial" w:eastAsia="Arial" w:hAnsi="Arial"/>
          <w:sz w:val="24"/>
          <w:szCs w:val="24"/>
        </w:rPr>
        <w:t xml:space="preserve">5) в срок до 1 июля 2024 года в установленном порядке принять меры по проведению государственных закупок топлива для бюджетных организаций, заключить договоры на его поставку;</w:t>
      </w:r>
    </w:p>
    <w:p>
      <w:pPr>
        <w:spacing w:after="120"/>
        <w:ind w:firstLine="567"/>
        <w:jc w:val="both"/>
      </w:pPr>
      <w:r>
        <w:rPr>
          <w:rFonts w:ascii="Arial" w:cs="Arial" w:eastAsia="Arial" w:hAnsi="Arial"/>
          <w:sz w:val="24"/>
          <w:szCs w:val="24"/>
        </w:rPr>
        <w:t xml:space="preserve">6)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120"/>
        <w:ind w:firstLine="567"/>
        <w:jc w:val="both"/>
      </w:pPr>
      <w:r>
        <w:rPr>
          <w:rFonts w:ascii="Arial" w:cs="Arial" w:eastAsia="Arial" w:hAnsi="Arial"/>
          <w:sz w:val="24"/>
          <w:szCs w:val="24"/>
        </w:rPr>
        <w:t xml:space="preserve">7) обеспечить проведение с привлечением средств массовой информации разъяснительной работы среди населения о необходимости энергосбережения, своевременной заготовки топлива к предстоящему отопительному периоду;</w:t>
      </w:r>
    </w:p>
    <w:p>
      <w:pPr>
        <w:spacing w:after="120"/>
        <w:ind w:firstLine="567"/>
        <w:jc w:val="both"/>
      </w:pPr>
      <w:r>
        <w:rPr>
          <w:rFonts w:ascii="Arial" w:cs="Arial" w:eastAsia="Arial" w:hAnsi="Arial"/>
          <w:sz w:val="24"/>
          <w:szCs w:val="24"/>
        </w:rPr>
        <w:t xml:space="preserve">8) ежемесячно предоставлять информацию об исполнении настоящего постановления в Министерство энергетики Кыргызской Республики по состоянию на 1 число не позднее 15 числа месяца, следующего за отчетным периодом, включая информацию о проведении закупки угля, выполнении плановых заданий по заготовке топлива, создании топливных баз и пунктов реализации угля, с указанием рыночных цен на уголь.</w:t>
      </w:r>
    </w:p>
    <w:p>
      <w:pPr>
        <w:spacing w:after="120"/>
        <w:ind w:firstLine="567"/>
        <w:jc w:val="both"/>
      </w:pPr>
      <w:r>
        <w:rPr>
          <w:rFonts w:ascii="Arial" w:cs="Arial" w:eastAsia="Arial" w:hAnsi="Arial"/>
          <w:sz w:val="24"/>
          <w:szCs w:val="24"/>
        </w:rPr>
        <w:t xml:space="preserve">Ответственность за предоставление информации в Министерство энергетики Кыргызской Республики и ее достоверность возлагается на руководителей министерств, государственного комитета, административных ведомств, аппаратов полномочных представителей Президента Кыргызской Республики в областях, руководителей местных государственных администраций и предприятий топливно-энергетического комплекса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nnn8gv8lbsqdsetqjpf5">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Конкурсным комиссиям муниципальных теплоснабжающих предприятий и ОАО "Электрические станции" (по согласованию) временно, на период подготовки и прохождения осенне-зимнего периода 2024/2025 года, исключить для ОАО "Кыргызнефтегаз" и ГП "Кыргызкомур"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xdawfqsz7djwaz7nbv5b">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Службе антимонопольного регулирования при Министерстве экономики и коммерции Кыргызской Республики:</w:t>
      </w:r>
    </w:p>
    <w:p>
      <w:pPr>
        <w:spacing w:after="120"/>
        <w:ind w:firstLine="567"/>
        <w:jc w:val="both"/>
      </w:pPr>
      <w:r>
        <w:rPr>
          <w:rFonts w:ascii="Arial" w:cs="Arial" w:eastAsia="Arial" w:hAnsi="Arial"/>
          <w:sz w:val="24"/>
          <w:szCs w:val="24"/>
        </w:rPr>
        <w:t xml:space="preserve">1) установить цены на уголь угледобывающих компаний Кыргызской Республики, осуществляющих поставку угля на ТЭЦ города Бишкек и муниципальным теплоснабжающим предприятиям, согласно перечню, представленному ГП "Кыргызкомур";</w:t>
      </w:r>
    </w:p>
    <w:p>
      <w:pPr>
        <w:spacing w:after="120"/>
        <w:ind w:firstLine="567"/>
        <w:jc w:val="both"/>
      </w:pPr>
      <w:r>
        <w:rPr>
          <w:rFonts w:ascii="Arial" w:cs="Arial" w:eastAsia="Arial" w:hAnsi="Arial"/>
          <w:sz w:val="24"/>
          <w:szCs w:val="24"/>
        </w:rPr>
        <w:t xml:space="preserve">2) установить цены на перевозку угля и мазута автотранспортными средствами с учетом обратного направления и с правом их пересмотра (переутверждения) в случае изменения (увеличения или снижения) стоимости горюче-смазочных и других расходных материалов по маршрутам, представленным ГП "Кыргызкомур" и муниципальными теплоснабжающими предприятиями;</w:t>
      </w:r>
    </w:p>
    <w:p>
      <w:pPr>
        <w:spacing w:after="120"/>
        <w:ind w:firstLine="567"/>
        <w:jc w:val="both"/>
      </w:pPr>
      <w:r>
        <w:rPr>
          <w:rFonts w:ascii="Arial" w:cs="Arial" w:eastAsia="Arial" w:hAnsi="Arial"/>
          <w:sz w:val="24"/>
          <w:szCs w:val="24"/>
        </w:rPr>
        <w:t xml:space="preserve">3) установить стоимость услуг по перегрузке угля на железнодорожный транспорт на погрузочно-разгрузочной площадке города Балыкчы согласно представленным материалам (расчетам) ГП "Кыргызкомур", которая распространяется на всех участников Товарищества угледобывающих предприятий;</w:t>
      </w:r>
    </w:p>
    <w:p>
      <w:pPr>
        <w:spacing w:after="120"/>
        <w:ind w:firstLine="567"/>
        <w:jc w:val="both"/>
      </w:pPr>
      <w:r>
        <w:rPr>
          <w:rFonts w:ascii="Arial" w:cs="Arial" w:eastAsia="Arial" w:hAnsi="Arial"/>
          <w:sz w:val="24"/>
          <w:szCs w:val="24"/>
        </w:rPr>
        <w:t xml:space="preserve">4) установить для ОАО "Кыргызнефтегаз" цену на топочный мазут марки "М-100" для поставки на ТЭЦ города Бишкек, ТЭЦ города Ош и филиалам муниципальных теплоснабжающих предприятий;</w:t>
      </w:r>
    </w:p>
    <w:p>
      <w:pPr>
        <w:spacing w:after="120"/>
        <w:ind w:firstLine="567"/>
        <w:jc w:val="both"/>
      </w:pPr>
      <w:r>
        <w:rPr>
          <w:rFonts w:ascii="Arial" w:cs="Arial" w:eastAsia="Arial" w:hAnsi="Arial"/>
          <w:sz w:val="24"/>
          <w:szCs w:val="24"/>
        </w:rPr>
        <w:t xml:space="preserve">5) в случае изменения (увеличения или снижения) затрат пересмотреть цены (стоимость услуг), установленные настоящим постановлением;</w:t>
      </w:r>
    </w:p>
    <w:p>
      <w:pPr>
        <w:spacing w:after="120"/>
        <w:ind w:firstLine="567"/>
        <w:jc w:val="both"/>
      </w:pPr>
      <w:r>
        <w:rPr>
          <w:rFonts w:ascii="Arial" w:cs="Arial" w:eastAsia="Arial" w:hAnsi="Arial"/>
          <w:sz w:val="24"/>
          <w:szCs w:val="24"/>
        </w:rPr>
        <w:t xml:space="preserve">6) осуществлять государственный контроль за правильностью формирования и применения цен (стоимости услуг), установленных настоящим постановлением.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tauu08szefuoxgfnsdej">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Полномочным представителям Президента Кыргызской Республики в областях, местным государственным администрациям и мэриям городов Бишкек и Ош (по согласованию) не допускать роста цен на уголь на топливных базах и в пунктах реализации, осуществляющих поставку угля для населения.</w:t>
      </w:r>
    </w:p>
    <w:p>
      <w:pPr>
        <w:spacing w:after="120"/>
        <w:ind w:firstLine="567"/>
        <w:jc w:val="both"/>
      </w:pPr>
      <w:r>
        <w:rPr>
          <w:rFonts w:ascii="Arial" w:cs="Arial" w:eastAsia="Arial" w:hAnsi="Arial"/>
          <w:sz w:val="24"/>
          <w:szCs w:val="24"/>
        </w:rPr>
        <w:t xml:space="preserve">5. Министерству экономики и коммерции Кыргызской Республики по результатам мониторинга, анализа предложений, внесенных полномочными представителями Президента Кыргызской Республики в областях, местными государственными администрациями и мэриями городов Бишкек и Ош, в установленном порядке принимать решения о введении временного государственного регулирования цен на уголь согласно </w:t>
      </w:r>
      <w:hyperlink w:history="1" r:id="rIdpydxutf4dvptxccnuote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 государственном регулировании цен на социально значимые товары" от 8 сентября 2023 года № 455.</w:t>
      </w:r>
    </w:p>
    <w:p>
      <w:pPr>
        <w:spacing w:after="120"/>
        <w:ind w:firstLine="567"/>
        <w:jc w:val="both"/>
      </w:pPr>
      <w:r>
        <w:rPr>
          <w:rFonts w:ascii="Arial" w:cs="Arial" w:eastAsia="Arial" w:hAnsi="Arial"/>
          <w:sz w:val="24"/>
          <w:szCs w:val="24"/>
        </w:rPr>
        <w:t xml:space="preserve">6. Министерству финансов Кыргызской Республики обеспечить в течение 2024 года своевременное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республиканском бюджете Кыргызской Республики на 2024 год и плановый период 2025-2026 годов".</w:t>
      </w:r>
    </w:p>
    <w:p>
      <w:pPr>
        <w:spacing w:after="120"/>
        <w:ind w:firstLine="567"/>
        <w:jc w:val="both"/>
      </w:pPr>
      <w:r>
        <w:rPr>
          <w:rFonts w:ascii="Arial" w:cs="Arial" w:eastAsia="Arial" w:hAnsi="Arial"/>
          <w:sz w:val="24"/>
          <w:szCs w:val="24"/>
        </w:rPr>
        <w:t xml:space="preserve">7. Министерству транспорта и коммуникаций Кыргызской Республики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фиксированный тариф в размере 520 (пятьсот двадцать) сомов с учетом всех дополнительных сборов (без учета налога на добавленную стоимость) за перевозку государственным предприятием "Национальная компания "Кыргыз темир жолу" при Министерстве транспорта и коммуникаций Кыргызской Республики одной тонны угля марки "Б" от железнодорожной станции "Рыбачье" до железнодорожных станций "Аламедин" (ТЭЦ города Бишкек) и "Бишкек-1" с 1 июля 2024 года по 1 июля 2025 года.</w:t>
      </w:r>
    </w:p>
    <w:p>
      <w:pPr>
        <w:spacing w:after="120"/>
        <w:ind w:firstLine="567"/>
        <w:jc w:val="both"/>
      </w:pPr>
      <w:r>
        <w:rPr>
          <w:rFonts w:ascii="Arial" w:cs="Arial" w:eastAsia="Arial" w:hAnsi="Arial"/>
          <w:sz w:val="24"/>
          <w:szCs w:val="24"/>
        </w:rPr>
        <w:t xml:space="preserve">8.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и органам местного самоуправления городов Бишкек и Ош (по согласованию):</w:t>
      </w:r>
    </w:p>
    <w:p>
      <w:pPr>
        <w:spacing w:after="120"/>
        <w:ind w:firstLine="567"/>
        <w:jc w:val="both"/>
      </w:pPr>
      <w:r>
        <w:rPr>
          <w:rFonts w:ascii="Arial" w:cs="Arial" w:eastAsia="Arial" w:hAnsi="Arial"/>
          <w:sz w:val="24"/>
          <w:szCs w:val="24"/>
        </w:rPr>
        <w:t xml:space="preserve">1) в срок до 1 июня 2024 года погасить задолженность бюджетных потребителей перед предприятиями топливно-энергетического комплекса за потребленные электрическую, тепловую энергию, природный газ, уголь и топочный мазут;</w:t>
      </w:r>
    </w:p>
    <w:p>
      <w:pPr>
        <w:spacing w:after="120"/>
        <w:ind w:firstLine="567"/>
        <w:jc w:val="both"/>
      </w:pPr>
      <w:r>
        <w:rPr>
          <w:rFonts w:ascii="Arial" w:cs="Arial" w:eastAsia="Arial" w:hAnsi="Arial"/>
          <w:sz w:val="24"/>
          <w:szCs w:val="24"/>
        </w:rPr>
        <w:t xml:space="preserve">2)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120"/>
        <w:ind w:firstLine="567"/>
        <w:jc w:val="both"/>
      </w:pPr>
      <w:r>
        <w:rPr>
          <w:rFonts w:ascii="Arial" w:cs="Arial" w:eastAsia="Arial" w:hAnsi="Arial"/>
          <w:sz w:val="24"/>
          <w:szCs w:val="24"/>
        </w:rPr>
        <w:t xml:space="preserve">3) довести до каждой организации лимиты потребления электрической энергии и мощности;</w:t>
      </w:r>
    </w:p>
    <w:p>
      <w:pPr>
        <w:spacing w:after="120"/>
        <w:ind w:firstLine="567"/>
        <w:jc w:val="both"/>
      </w:pPr>
      <w:r>
        <w:rPr>
          <w:rFonts w:ascii="Arial" w:cs="Arial" w:eastAsia="Arial" w:hAnsi="Arial"/>
          <w:sz w:val="24"/>
          <w:szCs w:val="24"/>
        </w:rPr>
        <w:t xml:space="preserve">4) обеспечить контроль и принятие мер для безусловного соблюдения установленных лимитов потребления электрической энергии и мощности;</w:t>
      </w:r>
    </w:p>
    <w:p>
      <w:pPr>
        <w:spacing w:after="120"/>
        <w:ind w:firstLine="567"/>
        <w:jc w:val="both"/>
      </w:pPr>
      <w:r>
        <w:rPr>
          <w:rFonts w:ascii="Arial" w:cs="Arial" w:eastAsia="Arial" w:hAnsi="Arial"/>
          <w:sz w:val="24"/>
          <w:szCs w:val="24"/>
        </w:rPr>
        <w:t xml:space="preserve">5) обеспечить переход электрических котлов на использование альтернативных источников энергии (уголь, газ, централизованное отопление) до начала осенне-зимнего периода 2024/2025 года;</w:t>
      </w:r>
    </w:p>
    <w:p>
      <w:pPr>
        <w:spacing w:after="120"/>
        <w:ind w:firstLine="567"/>
        <w:jc w:val="both"/>
      </w:pPr>
      <w:r>
        <w:rPr>
          <w:rFonts w:ascii="Arial" w:cs="Arial" w:eastAsia="Arial" w:hAnsi="Arial"/>
          <w:sz w:val="24"/>
          <w:szCs w:val="24"/>
        </w:rPr>
        <w:t xml:space="preserve">6) оказывать содействие энергетическим компаниям в проведении разъяснительной работы среди населения и бизнес-структур через средства массовой информации о сложившейся ситуации с накоплением воды в Токтогульском водохранилище;</w:t>
      </w:r>
    </w:p>
    <w:p>
      <w:pPr>
        <w:spacing w:after="120"/>
        <w:ind w:firstLine="567"/>
        <w:jc w:val="both"/>
      </w:pPr>
      <w:r>
        <w:rPr>
          <w:rFonts w:ascii="Arial" w:cs="Arial" w:eastAsia="Arial" w:hAnsi="Arial"/>
          <w:sz w:val="24"/>
          <w:szCs w:val="24"/>
        </w:rPr>
        <w:t xml:space="preserve">7) оказывать содействие в своевременном согласовании проведения ремонтных работ энергетическими компаниями, требующих прекращения подачи электроэнергии, в том числе вырубки поросли деревьев в охранных зонах воздушных и кабельных линий электропередачи;</w:t>
      </w:r>
    </w:p>
    <w:p>
      <w:pPr>
        <w:spacing w:after="120"/>
        <w:ind w:firstLine="567"/>
        <w:jc w:val="both"/>
      </w:pPr>
      <w:r>
        <w:rPr>
          <w:rFonts w:ascii="Arial" w:cs="Arial" w:eastAsia="Arial" w:hAnsi="Arial"/>
          <w:sz w:val="24"/>
          <w:szCs w:val="24"/>
        </w:rPr>
        <w:t xml:space="preserve">8) обеспечить в осенне-зимний период 2024/2025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p>
      <w:pPr>
        <w:spacing w:after="120"/>
        <w:ind w:firstLine="567"/>
        <w:jc w:val="both"/>
      </w:pPr>
      <w:r>
        <w:rPr>
          <w:rFonts w:ascii="Arial" w:cs="Arial" w:eastAsia="Arial" w:hAnsi="Arial"/>
          <w:sz w:val="24"/>
          <w:szCs w:val="24"/>
        </w:rPr>
        <w:t xml:space="preserve">9) обеспечить топливом социальные объекты, население и своевременное выделение средств льготной категории граждан.</w:t>
      </w:r>
    </w:p>
    <w:p>
      <w:pPr>
        <w:spacing w:after="120"/>
        <w:ind w:firstLine="567"/>
        <w:jc w:val="both"/>
      </w:pPr>
      <w:r>
        <w:rPr>
          <w:rFonts w:ascii="Arial" w:cs="Arial" w:eastAsia="Arial" w:hAnsi="Arial"/>
          <w:sz w:val="24"/>
          <w:szCs w:val="24"/>
        </w:rPr>
        <w:t xml:space="preserve">9.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 при необходимости проведения планового или аварийного ремонта линий электропередач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120"/>
        <w:ind w:firstLine="567"/>
        <w:jc w:val="both"/>
      </w:pPr>
      <w:r>
        <w:rPr>
          <w:rFonts w:ascii="Arial" w:cs="Arial" w:eastAsia="Arial" w:hAnsi="Arial"/>
          <w:sz w:val="24"/>
          <w:szCs w:val="24"/>
        </w:rPr>
        <w:t xml:space="preserve">10. Государственному агентству по управлению государственным имуществом при Кабинете Министров Кыргызской Республики, Государственной налоговой службе при Министерстве финансов Кыргызской Республики, Государственной таможенной службе при Министерстве финансов Кыргызской Республики, Социальному фонду Кыргызской Республики при Кабинете Министров Кыргызской Республики, Фонду государственных материальных резервов при Министерстве чрезвычайных ситуаций Кыргызской Республики и Финансово-кредитному фонду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"Кыргызский энергетический расчетный центр", "Чакан ГЭС",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муниципальных теплоснабжающих предприятий, ГП "Кыргызкомур" и угледобывающих предприятий, задействованных в заготовке топлива.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8fukw9jzmsb2yudorjti">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 Министерству энергетики Кыргызской Республики совместно с энергетическими компаниями:</w:t>
      </w:r>
    </w:p>
    <w:p>
      <w:pPr>
        <w:spacing w:after="120"/>
        <w:ind w:firstLine="567"/>
        <w:jc w:val="both"/>
      </w:pPr>
      <w:r>
        <w:rPr>
          <w:rFonts w:ascii="Arial" w:cs="Arial" w:eastAsia="Arial" w:hAnsi="Arial"/>
          <w:sz w:val="24"/>
          <w:szCs w:val="24"/>
        </w:rPr>
        <w:t xml:space="preserve">1) принять меры по обеспечению надежного электроснабжения потребителей республики и обеспечить строгий контроль за соблюдением потребителями установленных лимитов потребления электроэнергии и мощности, графиков и заданий согласно приложениям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завершить ремонтные работы энергетического оборудования и сетей до начала отопительного сезона 2024/2025 года;</w:t>
      </w:r>
    </w:p>
    <w:p>
      <w:pPr>
        <w:spacing w:after="120"/>
        <w:ind w:firstLine="567"/>
        <w:jc w:val="both"/>
      </w:pPr>
      <w:r>
        <w:rPr>
          <w:rFonts w:ascii="Arial" w:cs="Arial" w:eastAsia="Arial" w:hAnsi="Arial"/>
          <w:sz w:val="24"/>
          <w:szCs w:val="24"/>
        </w:rPr>
        <w:t xml:space="preserve">3) разработать и утвердить план мероприятий по успешному прохождению осенне-зимнего периода 2024/2025 года.</w:t>
      </w:r>
    </w:p>
    <w:p>
      <w:pPr>
        <w:spacing w:after="120"/>
        <w:ind w:firstLine="567"/>
        <w:jc w:val="both"/>
      </w:pPr>
      <w:r>
        <w:rPr>
          <w:rFonts w:ascii="Arial" w:cs="Arial" w:eastAsia="Arial" w:hAnsi="Arial"/>
          <w:sz w:val="24"/>
          <w:szCs w:val="24"/>
        </w:rPr>
        <w:t xml:space="preserve">12. Возложить персональную ответственность за:</w:t>
      </w:r>
    </w:p>
    <w:p>
      <w:pPr>
        <w:spacing w:after="120"/>
        <w:ind w:firstLine="567"/>
        <w:jc w:val="both"/>
      </w:pPr>
      <w:r>
        <w:rPr>
          <w:rFonts w:ascii="Arial" w:cs="Arial" w:eastAsia="Arial" w:hAnsi="Arial"/>
          <w:sz w:val="24"/>
          <w:szCs w:val="24"/>
        </w:rPr>
        <w:t xml:space="preserve">1) надлежащую подготовку, прохождение осенне-зимнего периода 2024/2025 года, обеспечение надежного бесперебойного снабжения потребителей энергетическими ресурсами на руководителей Министерства энергетики Кыргызской Республики, открытых акционерных обществ "Электрические станции", "Национальная электрическая сеть Кыргызстана", "Чакан ГЭС", муниципальных теплоснабжающих предприятий, полномочных представителей Президента Кыргызской Республики в областях, глав местных государственных администраций, мэров городов Бишкек и Ош;</w:t>
      </w:r>
    </w:p>
    <w:p>
      <w:pPr>
        <w:spacing w:after="120"/>
        <w:ind w:firstLine="567"/>
        <w:jc w:val="both"/>
      </w:pPr>
      <w:r>
        <w:rPr>
          <w:rFonts w:ascii="Arial" w:cs="Arial" w:eastAsia="Arial" w:hAnsi="Arial"/>
          <w:sz w:val="24"/>
          <w:szCs w:val="24"/>
        </w:rPr>
        <w:t xml:space="preserve">2) выполнение установленных лимитов потребления электрической энергии и мощности - на полномочных представителей Президента Кыргызской Республики в областях, глав местных государственных администраций, глав айыл окмоту, мэров городов Бишкек и Ош, руководителей Министерства энергетики Кыргызской Республики, открытых акционерных обществ "Национальная электрическая сеть Кыргызстана" и "Кыргызский энергетический расчетный центр";</w:t>
      </w:r>
    </w:p>
    <w:p>
      <w:pPr>
        <w:spacing w:after="120"/>
        <w:ind w:firstLine="567"/>
        <w:jc w:val="both"/>
      </w:pPr>
      <w:r>
        <w:rPr>
          <w:rFonts w:ascii="Arial" w:cs="Arial" w:eastAsia="Arial" w:hAnsi="Arial"/>
          <w:sz w:val="24"/>
          <w:szCs w:val="24"/>
        </w:rPr>
        <w:t xml:space="preserve">3) качество и своевременность проведения ремонтно-восстановительных работ энергооборудования - на руководителей Министерства энергетики Кыргызской Республики, открытых акционерных обществ "Национальная электрическая сеть Кыргызстана", "Электрические станции", "Чакан ГЭС", муниципальных теплоснабжающих предприятий, полномочных представителей Президента Кыргызской Республики в областях, глав местных государственных администраций, мэров городов Бишкек и Ош;</w:t>
      </w:r>
    </w:p>
    <w:p>
      <w:pPr>
        <w:spacing w:after="120"/>
        <w:ind w:firstLine="567"/>
        <w:jc w:val="both"/>
      </w:pPr>
      <w:r>
        <w:rPr>
          <w:rFonts w:ascii="Arial" w:cs="Arial" w:eastAsia="Arial" w:hAnsi="Arial"/>
          <w:sz w:val="24"/>
          <w:szCs w:val="24"/>
        </w:rPr>
        <w:t xml:space="preserve">4) возникновение просрочки платежей за электрическую и тепловую энергию и природный газ - на руководителей бюджетных организаций.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h3phbck7bdzqwqkdkafp">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ГП "Кыргызкомур":</w:t>
      </w:r>
    </w:p>
    <w:p>
      <w:pPr>
        <w:spacing w:after="120"/>
        <w:ind w:firstLine="567"/>
        <w:jc w:val="both"/>
      </w:pPr>
      <w:r>
        <w:rPr>
          <w:rFonts w:ascii="Arial" w:cs="Arial" w:eastAsia="Arial" w:hAnsi="Arial"/>
          <w:sz w:val="24"/>
          <w:szCs w:val="24"/>
        </w:rPr>
        <w:t xml:space="preserve">1) обеспечить поставку угля в необходимых объемах в соответствии с графиком для ТЭЦ города Бишкек и муниципальных теплоснабжающих предприятий, при этом обеспечить соответствующее качество угля;</w:t>
      </w:r>
    </w:p>
    <w:p>
      <w:pPr>
        <w:spacing w:after="120"/>
        <w:ind w:firstLine="567"/>
        <w:jc w:val="both"/>
      </w:pPr>
      <w:r>
        <w:rPr>
          <w:rFonts w:ascii="Arial" w:cs="Arial" w:eastAsia="Arial" w:hAnsi="Arial"/>
          <w:sz w:val="24"/>
          <w:szCs w:val="24"/>
        </w:rPr>
        <w:t xml:space="preserve">2) отказаться от права пользования недрами с целью проведения геологоразведочных работ и разработки участка "Агулак" месторождения угля Мин-Куш;</w:t>
      </w:r>
    </w:p>
    <w:p>
      <w:pPr>
        <w:spacing w:after="120"/>
        <w:ind w:firstLine="567"/>
        <w:jc w:val="both"/>
      </w:pPr>
      <w:r>
        <w:rPr>
          <w:rFonts w:ascii="Arial" w:cs="Arial" w:eastAsia="Arial" w:hAnsi="Arial"/>
          <w:sz w:val="24"/>
          <w:szCs w:val="24"/>
        </w:rPr>
        <w:t xml:space="preserve">3) переуступить право обеспечения поставки угля для ТЭЦ города Бишкек с участка "Агулак" месторождения угля Мин-Куш в количестве 180 тыс. тонн на бесплатной основе ТЭЦ города Бишкек.</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wstlg-wongsudulbdyqe">
        <w:r>
          <w:rPr>
            <w:rFonts w:ascii="Arial" w:cs="Arial" w:eastAsia="Arial" w:hAnsi="Arial"/>
            <w:i/>
            <w:iCs/>
            <w:color w:val="1D4ED8"/>
            <w:sz w:val="24"/>
            <w:szCs w:val="24"/>
            <w:u w:val="single"/>
          </w:rPr>
          <w:t xml:space="preserve">6 июля 2024 года № 367</w:t>
        </w:r>
      </w:hyperlink>
      <w:r>
        <w:rPr>
          <w:rFonts w:ascii="Arial" w:cs="Arial" w:eastAsia="Arial" w:hAnsi="Arial"/>
          <w:i/>
          <w:iCs/>
          <w:sz w:val="24"/>
          <w:szCs w:val="24"/>
        </w:rPr>
        <w:t xml:space="preserve">, </w:t>
      </w:r>
      <w:hyperlink w:history="1" r:id="rIdwd2paz7rsofngrgsy02wh">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13-1. ТЭЦ города Бишкек обеспечить самостоятельную перевозку угля с участка "Агулак" месторождения угля Мин-Куш для собственных нужд.</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ntxfvvzdc9fznmnk3v6w">
        <w:r>
          <w:rPr>
            <w:rFonts w:ascii="Arial" w:cs="Arial" w:eastAsia="Arial" w:hAnsi="Arial"/>
            <w:i/>
            <w:iCs/>
            <w:color w:val="1D4ED8"/>
            <w:sz w:val="24"/>
            <w:szCs w:val="24"/>
            <w:u w:val="single"/>
          </w:rPr>
          <w:t xml:space="preserve">6 июля 2024 года № 367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 Рекомендовать ОАО "Кыргызнефтегаз":</w:t>
      </w:r>
    </w:p>
    <w:p>
      <w:pPr>
        <w:spacing w:after="120"/>
        <w:ind w:firstLine="567"/>
        <w:jc w:val="both"/>
      </w:pPr>
      <w:r>
        <w:rPr>
          <w:rFonts w:ascii="Arial" w:cs="Arial" w:eastAsia="Arial" w:hAnsi="Arial"/>
          <w:sz w:val="24"/>
          <w:szCs w:val="24"/>
        </w:rPr>
        <w:t xml:space="preserve">1) в срок до 1 июня 2024 года представить в Службу антимонопольного регулирования при Министерстве экономики и коммерции Кыргызской Республики расчетные материалы для установления цен на топочный мазут марки "М-100" для поставки на ТЭЦ города Ош и муниципальным теплоснабжающим предприятиям;</w:t>
      </w:r>
    </w:p>
    <w:p>
      <w:pPr>
        <w:spacing w:after="120"/>
        <w:ind w:firstLine="567"/>
        <w:jc w:val="both"/>
      </w:pPr>
      <w:r>
        <w:rPr>
          <w:rFonts w:ascii="Arial" w:cs="Arial" w:eastAsia="Arial" w:hAnsi="Arial"/>
          <w:sz w:val="24"/>
          <w:szCs w:val="24"/>
        </w:rPr>
        <w:t xml:space="preserve">2) обеспечить поставку топочного мазута на ТЭЦ города Ош и муниципальным теплоснабжающим предприятиям.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snchk4fqvc3tjlg3m_xh">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Рекомендовать ОАО "Национальная электрическая сеть Кыргызстана":</w:t>
      </w:r>
    </w:p>
    <w:p>
      <w:pPr>
        <w:spacing w:after="120"/>
        <w:ind w:firstLine="567"/>
        <w:jc w:val="both"/>
      </w:pPr>
      <w:r>
        <w:rPr>
          <w:rFonts w:ascii="Arial" w:cs="Arial" w:eastAsia="Arial" w:hAnsi="Arial"/>
          <w:sz w:val="24"/>
          <w:szCs w:val="24"/>
        </w:rPr>
        <w:t xml:space="preserve">- разработать, утвердить, довести до потребителей и соблюдать графики ограничения местной разгрузки;</w:t>
      </w:r>
    </w:p>
    <w:p>
      <w:pPr>
        <w:spacing w:after="120"/>
        <w:ind w:firstLine="567"/>
        <w:jc w:val="both"/>
      </w:pPr>
      <w:r>
        <w:rPr>
          <w:rFonts w:ascii="Arial" w:cs="Arial" w:eastAsia="Arial" w:hAnsi="Arial"/>
          <w:sz w:val="24"/>
          <w:szCs w:val="24"/>
        </w:rPr>
        <w:t xml:space="preserve">- принять меры по сокращению количества аварийных отключений в электрических сетях напряжением 6-10 кВ;</w:t>
      </w:r>
    </w:p>
    <w:p>
      <w:pPr>
        <w:spacing w:after="120"/>
        <w:ind w:firstLine="567"/>
        <w:jc w:val="both"/>
      </w:pPr>
      <w:r>
        <w:rPr>
          <w:rFonts w:ascii="Arial" w:cs="Arial" w:eastAsia="Arial" w:hAnsi="Arial"/>
          <w:sz w:val="24"/>
          <w:szCs w:val="24"/>
        </w:rPr>
        <w:t xml:space="preserve">- в случае возникновения дефицита мощности из-за погодных условий вводить ограничения объемов поставок электроэнергии для энергоемких производственных потребителей в период с ноября 2024 года по март 2025 года;</w:t>
      </w:r>
    </w:p>
    <w:p>
      <w:pPr>
        <w:spacing w:after="120"/>
        <w:ind w:firstLine="567"/>
        <w:jc w:val="both"/>
      </w:pPr>
      <w:r>
        <w:rPr>
          <w:rFonts w:ascii="Arial" w:cs="Arial" w:eastAsia="Arial" w:hAnsi="Arial"/>
          <w:sz w:val="24"/>
          <w:szCs w:val="24"/>
        </w:rPr>
        <w:t xml:space="preserve">- обеспечить снижение уровня потерь электрической энергии в электрических сетях напряжением 110-500 кВ до 5,88%, в электрических сетях напряжением 0,4-35 кВ до 11,75%, а также снижение дебиторской задолженности на 10%;</w:t>
      </w:r>
    </w:p>
    <w:p>
      <w:pPr>
        <w:spacing w:after="120"/>
        <w:ind w:firstLine="567"/>
        <w:jc w:val="both"/>
      </w:pPr>
      <w:r>
        <w:rPr>
          <w:rFonts w:ascii="Arial" w:cs="Arial" w:eastAsia="Arial" w:hAnsi="Arial"/>
          <w:sz w:val="24"/>
          <w:szCs w:val="24"/>
        </w:rPr>
        <w:t xml:space="preserve">- обеспечить с учетом технической возможности импорт электрической энергии из Центральной Азии и Российской Федерации.</w:t>
      </w:r>
    </w:p>
    <w:p>
      <w:pPr>
        <w:spacing w:after="120"/>
        <w:ind w:firstLine="567"/>
        <w:jc w:val="both"/>
      </w:pPr>
      <w:r>
        <w:rPr>
          <w:rFonts w:ascii="Arial" w:cs="Arial" w:eastAsia="Arial" w:hAnsi="Arial"/>
          <w:sz w:val="24"/>
          <w:szCs w:val="24"/>
        </w:rPr>
        <w:t xml:space="preserve">16. Рекомендовать ОсОО "Газпром Кыргызстан":</w:t>
      </w:r>
    </w:p>
    <w:p>
      <w:pPr>
        <w:spacing w:after="120"/>
        <w:ind w:firstLine="567"/>
        <w:jc w:val="both"/>
      </w:pPr>
      <w:r>
        <w:rPr>
          <w:rFonts w:ascii="Arial" w:cs="Arial" w:eastAsia="Arial" w:hAnsi="Arial"/>
          <w:sz w:val="24"/>
          <w:szCs w:val="24"/>
        </w:rPr>
        <w:t xml:space="preserve">1) обеспечить бесперебойную поставку природного газа для муниципальных теплоснабжающих предприятий, ТЭЦ города Бишкек, ТЭЦ города Ош и потребителей Кыргызской Республики в осенне-зимний период 2024/2025 года;</w:t>
      </w:r>
    </w:p>
    <w:p>
      <w:pPr>
        <w:spacing w:after="120"/>
        <w:ind w:firstLine="567"/>
        <w:jc w:val="both"/>
      </w:pPr>
      <w:r>
        <w:rPr>
          <w:rFonts w:ascii="Arial" w:cs="Arial" w:eastAsia="Arial" w:hAnsi="Arial"/>
          <w:sz w:val="24"/>
          <w:szCs w:val="24"/>
        </w:rPr>
        <w:t xml:space="preserve">2) обеспечить выполнение Инвестиционной программы на 2024 год в рамках Генеральной схемы газоснабжения и газификации Кыргызской Республики до 2030 года;</w:t>
      </w:r>
    </w:p>
    <w:p>
      <w:pPr>
        <w:spacing w:after="120"/>
        <w:ind w:firstLine="567"/>
        <w:jc w:val="both"/>
      </w:pPr>
      <w:r>
        <w:rPr>
          <w:rFonts w:ascii="Arial" w:cs="Arial" w:eastAsia="Arial" w:hAnsi="Arial"/>
          <w:sz w:val="24"/>
          <w:szCs w:val="24"/>
        </w:rPr>
        <w:t xml:space="preserve">3) на ежемесячной основе предоставлять информацию об исполнении Инвестиционной программы на 2024 год в Министерство энергетики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9f8iwlzehzldx30vpj1i">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Признать утратившими силу:</w:t>
      </w:r>
    </w:p>
    <w:p>
      <w:pPr>
        <w:spacing w:after="60"/>
        <w:ind w:firstLine="567"/>
        <w:jc w:val="both"/>
      </w:pPr>
      <w:r>
        <w:rPr>
          <w:rFonts w:ascii="Arial" w:cs="Arial" w:eastAsia="Arial" w:hAnsi="Arial"/>
          <w:sz w:val="24"/>
          <w:szCs w:val="24"/>
        </w:rPr>
        <w:t xml:space="preserve">1) </w:t>
      </w:r>
      <w:hyperlink w:history="1" r:id="rIdljzttcdmt1vfb-sd8sf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2023/2024 года" от 25 апреля 2023 года № 220;</w:t>
      </w:r>
    </w:p>
    <w:p>
      <w:pPr>
        <w:spacing w:after="60"/>
        <w:ind w:firstLine="567"/>
        <w:jc w:val="both"/>
      </w:pPr>
      <w:r>
        <w:rPr>
          <w:rFonts w:ascii="Arial" w:cs="Arial" w:eastAsia="Arial" w:hAnsi="Arial"/>
          <w:sz w:val="24"/>
          <w:szCs w:val="24"/>
        </w:rPr>
        <w:t xml:space="preserve">2) </w:t>
      </w:r>
      <w:hyperlink w:history="1" r:id="rIdr_m2ntomsmw7iu6idvv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cfr9rgpayvkz6ui7nypq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2023/2024 года" от 25 апреля 2023 года № 220" от 5 октября 2023 года № 519.</w:t>
      </w:r>
    </w:p>
    <w:p>
      <w:pPr>
        <w:spacing w:after="60"/>
        <w:ind w:firstLine="567"/>
        <w:jc w:val="both"/>
      </w:pPr>
      <w:r>
        <w:rPr>
          <w:rFonts w:ascii="Arial" w:cs="Arial" w:eastAsia="Arial" w:hAnsi="Arial"/>
          <w:sz w:val="24"/>
          <w:szCs w:val="24"/>
        </w:rPr>
        <w:t xml:space="preserve">18.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19.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4 июня 2024 года № 42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Джалал-Абадской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vgke1i7x1rpl4m38n2c08">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1436"/>
        <w:gridCol w:w="650"/>
        <w:gridCol w:w="637"/>
        <w:gridCol w:w="637"/>
        <w:gridCol w:w="637"/>
        <w:gridCol w:w="637"/>
        <w:gridCol w:w="637"/>
        <w:gridCol w:w="637"/>
        <w:gridCol w:w="637"/>
        <w:gridCol w:w="637"/>
        <w:gridCol w:w="637"/>
        <w:gridCol w:w="639"/>
        <w:gridCol w:w="639"/>
        <w:gridCol w:w="639"/>
      </w:tblGrid>
      <w:tr>
        <w:tc>
          <w:tcPr>
            <w:tcW w:type="dxa" w:w="4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733"/>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91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2504,010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166,238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153,043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155,578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165,797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154,550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132,414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171,832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248,319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312,229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343,982</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278,284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221,745</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2006,966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130,190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118,024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115,537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115,166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100,881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139,172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210,034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265,256</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286,951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228,329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174,625</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145,033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12,915</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12,516</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12,935</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298,581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19,417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23,643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16,628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21,201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28,605</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32,757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29,611</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0,114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0,0098</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53,317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5,062</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4,564</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468</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327</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0,339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4,274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0,789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0,789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0,196</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0,077</w:t>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республиканским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0,676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0,046</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0,253</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0,253</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0,172</w:t>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0,742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0,475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0,075</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0,0711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0,0163</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0,0163</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0,0093</w:t>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0,322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18,378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0,900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Ошской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antabhjeta4doenjrtzbq">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1467"/>
        <w:gridCol w:w="660"/>
        <w:gridCol w:w="631"/>
        <w:gridCol w:w="631"/>
        <w:gridCol w:w="631"/>
        <w:gridCol w:w="631"/>
        <w:gridCol w:w="631"/>
        <w:gridCol w:w="631"/>
        <w:gridCol w:w="631"/>
        <w:gridCol w:w="631"/>
        <w:gridCol w:w="631"/>
        <w:gridCol w:w="653"/>
        <w:gridCol w:w="653"/>
        <w:gridCol w:w="653"/>
      </w:tblGrid>
      <w:tr>
        <w:tc>
          <w:tcPr>
            <w:tcW w:type="dxa" w:w="4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679"/>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9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1575,382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119,370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100,546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90,173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95,691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97,712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97,870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132,402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161,023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174,424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190,467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164,206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151,501</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1320,825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100,236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80,445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72,896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75,616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74,870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74,756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107,014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138,150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151,960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169,827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144,025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131,030</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188,921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16,698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16,518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18,899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19,021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19,182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14,591</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65,621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5,879</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0,016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0,0010</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178,414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0,914</w:t>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0,728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0,1776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35,034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0,271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0,250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0,576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0,177</w:t>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0,890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0,080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w:t>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0,931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0,1875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0,2550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0,2985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9,728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0,670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городу Ош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1960"/>
        <w:gridCol w:w="621"/>
        <w:gridCol w:w="599"/>
        <w:gridCol w:w="599"/>
        <w:gridCol w:w="599"/>
        <w:gridCol w:w="599"/>
        <w:gridCol w:w="599"/>
        <w:gridCol w:w="599"/>
        <w:gridCol w:w="599"/>
        <w:gridCol w:w="599"/>
        <w:gridCol w:w="599"/>
        <w:gridCol w:w="604"/>
        <w:gridCol w:w="604"/>
        <w:gridCol w:w="604"/>
      </w:tblGrid>
      <w:tr>
        <w:tc>
          <w:tcPr>
            <w:tcW w:type="dxa" w:w="39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w:t>
            </w:r>
          </w:p>
        </w:tc>
        <w:tc>
          <w:tcPr>
            <w:tcW w:type="dxa" w:w="1960"/>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1"/>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Всего</w:t>
            </w:r>
          </w:p>
        </w:tc>
        <w:tc>
          <w:tcPr>
            <w:tcW w:type="dxa" w:w="5391"/>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1189,704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75,980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61,923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57,413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60,484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58,343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57,602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83,519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125,320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163,932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173,099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124,957</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1045,845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67,526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53,564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48,963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51,733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49,497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48,688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109,766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144,680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155,673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131,427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110,887</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73,387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6,322</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49,227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4,732</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0,0014</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21,223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171</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г.Ош</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77,460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18,152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0,700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0,4432</w:t>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Баткенской области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2202"/>
        <w:gridCol w:w="620"/>
        <w:gridCol w:w="580"/>
        <w:gridCol w:w="580"/>
        <w:gridCol w:w="580"/>
        <w:gridCol w:w="580"/>
        <w:gridCol w:w="580"/>
        <w:gridCol w:w="580"/>
        <w:gridCol w:w="580"/>
        <w:gridCol w:w="580"/>
        <w:gridCol w:w="580"/>
        <w:gridCol w:w="582"/>
        <w:gridCol w:w="582"/>
        <w:gridCol w:w="582"/>
      </w:tblGrid>
      <w:tr>
        <w:tc>
          <w:tcPr>
            <w:tcW w:type="dxa" w:w="391"/>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w:t>
            </w:r>
          </w:p>
        </w:tc>
        <w:tc>
          <w:tcPr>
            <w:tcW w:type="dxa" w:w="2202"/>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0"/>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Всего</w:t>
            </w:r>
          </w:p>
        </w:tc>
        <w:tc>
          <w:tcPr>
            <w:tcW w:type="dxa" w:w="522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74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1056,181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81,393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72,910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66,957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68,978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66,094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64,769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83,274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106,918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120,642</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125,575</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106,550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92,119</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793,922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47,473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102,386</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107,032</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87,253</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71,870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213,513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19,857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21,466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21,737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21,496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19,941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17,587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14,245</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15,630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48,306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6,315</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0,0440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0,0467</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0,0422</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166</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163</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2.1.4</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97,522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0,622</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0,133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14,513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1,478</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0,043</w:t>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республиканским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0,801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0,139</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0,343</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0,206</w:t>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0,747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0,4417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0,0808</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0,0788</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0,0637</w:t>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0,2088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0,2088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0,1670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Чуйской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8gvoo4sbnxm7orvidr0al">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1895"/>
        <w:gridCol w:w="628"/>
        <w:gridCol w:w="606"/>
        <w:gridCol w:w="606"/>
        <w:gridCol w:w="606"/>
        <w:gridCol w:w="606"/>
        <w:gridCol w:w="606"/>
        <w:gridCol w:w="606"/>
        <w:gridCol w:w="606"/>
        <w:gridCol w:w="606"/>
        <w:gridCol w:w="606"/>
        <w:gridCol w:w="604"/>
        <w:gridCol w:w="604"/>
        <w:gridCol w:w="604"/>
      </w:tblGrid>
      <w:tr>
        <w:tc>
          <w:tcPr>
            <w:tcW w:type="dxa" w:w="3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45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3793,381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293,258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232,535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231,118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241,267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224,486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217,210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293,306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361,570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442,948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452,157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424,902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378,625</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3042,653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233,722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173,731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175,525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179,296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163,646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160,705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234,624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295,922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371,473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382,893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359,002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312,114</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484,446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40,532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43,458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44,938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43,375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38,025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35,526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40,422</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265,428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17,039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21,922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27,533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30,246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25,974</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0,853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559</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339,363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37,363</w:t>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0,215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1,589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19,842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0,480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0,043</w:t>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0,395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0,330</w:t>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0,660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129,000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3,671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1,3235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0,153</w:t>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42,621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10,973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Таласской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a9jkhweulufmxfytestgz">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
        <w:gridCol w:w="2275"/>
        <w:gridCol w:w="556"/>
        <w:gridCol w:w="580"/>
        <w:gridCol w:w="580"/>
        <w:gridCol w:w="580"/>
        <w:gridCol w:w="580"/>
        <w:gridCol w:w="580"/>
        <w:gridCol w:w="580"/>
        <w:gridCol w:w="580"/>
        <w:gridCol w:w="580"/>
        <w:gridCol w:w="580"/>
        <w:gridCol w:w="580"/>
        <w:gridCol w:w="580"/>
        <w:gridCol w:w="580"/>
      </w:tblGrid>
      <w:tr>
        <w:tc>
          <w:tcPr>
            <w:tcW w:type="dxa" w:w="3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22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74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692,728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51,117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42,278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37,974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38,982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39,362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40,795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54,851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68,445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82,155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87,029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76,738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73,001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470,990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33,943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67,088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54,039</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194,781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16,333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16,333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15,773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25,877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2,479</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0,172</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3,810</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0,166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0,577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0,209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0,203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0,018</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0,365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0,0998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0,0090</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1,977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городу Бишкек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bxerme25basa08cg8fcbm">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
        <w:gridCol w:w="3103"/>
        <w:gridCol w:w="535"/>
        <w:gridCol w:w="519"/>
        <w:gridCol w:w="519"/>
        <w:gridCol w:w="519"/>
        <w:gridCol w:w="519"/>
        <w:gridCol w:w="519"/>
        <w:gridCol w:w="519"/>
        <w:gridCol w:w="519"/>
        <w:gridCol w:w="519"/>
        <w:gridCol w:w="519"/>
        <w:gridCol w:w="514"/>
        <w:gridCol w:w="514"/>
        <w:gridCol w:w="514"/>
      </w:tblGrid>
      <w:tr>
        <w:tc>
          <w:tcPr>
            <w:tcW w:type="dxa" w:w="3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1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671"/>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4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4547,593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323,561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283,375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287,409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310,336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281,824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266,414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347,425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432,958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533,443</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568,502</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481,469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430,876</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2897,669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209,687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181,491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187,069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203,646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176,363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159,685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272,486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350,316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366,491</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301,590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268,564</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1181,970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81,889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77,227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75,133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80,191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81,290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125,376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135,285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124,509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114,978</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154,382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16,829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15,514</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13,493</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0,855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0,088</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0,078</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312,716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19,754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14,143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38,860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40,837</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47,786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39,769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33,763</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747</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778</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648</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160,100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0,169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0,256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0,034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0,290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0,067</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0,041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"Бишкек ТЭЦ":</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178,000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188,000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r>
    </w:tbl>
    <w:p>
      <w:pPr>
        <w:spacing w:after="12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Нарынской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6ye8jbvojqoeqzbszvm2v">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
        <w:gridCol w:w="2275"/>
        <w:gridCol w:w="556"/>
        <w:gridCol w:w="580"/>
        <w:gridCol w:w="580"/>
        <w:gridCol w:w="580"/>
        <w:gridCol w:w="580"/>
        <w:gridCol w:w="580"/>
        <w:gridCol w:w="580"/>
        <w:gridCol w:w="580"/>
        <w:gridCol w:w="580"/>
        <w:gridCol w:w="580"/>
        <w:gridCol w:w="580"/>
        <w:gridCol w:w="580"/>
        <w:gridCol w:w="580"/>
      </w:tblGrid>
      <w:tr>
        <w:tc>
          <w:tcPr>
            <w:tcW w:type="dxa" w:w="3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22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74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728,467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51,163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49,642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40,035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39,454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34,881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30,844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52,158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71,203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91,390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103,091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85,905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78,700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697,297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68,046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87,331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75,800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0,688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28,287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0,304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0,185</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114</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130,856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0,175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0,036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17,882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0,179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0,095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0,104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13,394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Иссык-Кульской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nv5xdjbadlts4ner4ka3m">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1855"/>
        <w:gridCol w:w="629"/>
        <w:gridCol w:w="599"/>
        <w:gridCol w:w="599"/>
        <w:gridCol w:w="599"/>
        <w:gridCol w:w="599"/>
        <w:gridCol w:w="599"/>
        <w:gridCol w:w="599"/>
        <w:gridCol w:w="599"/>
        <w:gridCol w:w="599"/>
        <w:gridCol w:w="599"/>
        <w:gridCol w:w="604"/>
        <w:gridCol w:w="604"/>
        <w:gridCol w:w="604"/>
      </w:tblGrid>
      <w:tr>
        <w:tc>
          <w:tcPr>
            <w:tcW w:type="dxa" w:w="4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391"/>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1702,011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127,439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108,978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92,121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105,225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105,517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99,889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132,090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163,064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197,917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217,646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187,017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165,108</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1187,218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88,238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70,961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65,302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61,529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118,629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147,548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165,290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137,447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120,284</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58,726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6,459</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компании Кумтор ОК</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331,815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27,870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122,834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18,670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12,693</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0,172</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122,280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25,674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28,285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w:t>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0,167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0,821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0,070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8,717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0,760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0,384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0,0489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0,0073</w:t>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14,663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Кыргызской Республике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t-9gsj0qfsba9kqjhrq28">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
        <w:gridCol w:w="2948"/>
        <w:gridCol w:w="556"/>
        <w:gridCol w:w="526"/>
        <w:gridCol w:w="526"/>
        <w:gridCol w:w="526"/>
        <w:gridCol w:w="526"/>
        <w:gridCol w:w="526"/>
        <w:gridCol w:w="526"/>
        <w:gridCol w:w="526"/>
        <w:gridCol w:w="526"/>
        <w:gridCol w:w="526"/>
        <w:gridCol w:w="518"/>
        <w:gridCol w:w="518"/>
        <w:gridCol w:w="518"/>
      </w:tblGrid>
      <w:tr>
        <w:tc>
          <w:tcPr>
            <w:tcW w:type="dxa" w:w="3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73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5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республике,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17789,457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1289,518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1105,231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1058,780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1126,215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1062,769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1007,808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1350,857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1738,820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2119,078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2261,546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1952,203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1716,632</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13463,385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969,680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797,809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757,409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802,583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741,458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700,546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1012,519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1349,831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1683,241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1799,745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1529,351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1319,213</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2541,466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188,206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202,073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207,972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214,742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232,589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240,384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229,065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227,710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331,815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29,822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1058,542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73,748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57,374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98,805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137,195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117,936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102,055</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0,680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0,695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0,627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389,147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19,487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50,632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57,463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48,656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41,527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республике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2251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2942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2963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2518</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1366,645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204,682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247,658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257,926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180,960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135,083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107,268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44,937</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19,636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19,052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116,712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0,321</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11,530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0,342</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100,761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24,351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"Бишкек ТЭЦ"</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"Ош ТЭЦ":</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0,4432</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1554"/>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НЭС Кыргызстана</w:t>
      </w:r>
      <w:r>
        <w:rPr>
          <w:rFonts w:ascii="Arial" w:cs="Arial" w:eastAsia="Arial" w:hAnsi="Arial"/>
          <w:sz w:val="24"/>
          <w:szCs w:val="24"/>
        </w:rPr>
        <w:t xml:space="preserve">	</w:t>
      </w:r>
      <w:r>
        <w:rPr>
          <w:rFonts w:ascii="Arial" w:cs="Arial" w:eastAsia="Arial" w:hAnsi="Arial"/>
          <w:sz w:val="24"/>
          <w:szCs w:val="24"/>
        </w:rPr>
        <w:t xml:space="preserve">Национальная электрическая сеть Кыргызстана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СИН</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ПЛ</w:t>
      </w:r>
      <w:r>
        <w:rPr>
          <w:rFonts w:ascii="Arial" w:cs="Arial" w:eastAsia="Arial" w:hAnsi="Arial"/>
          <w:sz w:val="24"/>
          <w:szCs w:val="24"/>
        </w:rPr>
        <w:t xml:space="preserve">	</w:t>
      </w:r>
      <w:r>
        <w:rPr>
          <w:rFonts w:ascii="Arial" w:cs="Arial" w:eastAsia="Arial" w:hAnsi="Arial"/>
          <w:sz w:val="24"/>
          <w:szCs w:val="24"/>
        </w:rPr>
        <w:t xml:space="preserve">профессиональный лицей</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tabs>
          <w:tab w:val="right" w:pos="10178"/>
        </w:tabs>
        <w:spacing w:after="120"/>
      </w:pPr>
      <w:r>
        <w:rPr>
          <w:rFonts w:ascii="Arial" w:cs="Arial" w:eastAsia="Arial" w:hAnsi="Arial"/>
          <w:b/>
          <w:bCs/>
          <w:sz w:val="24"/>
          <w:szCs w:val="24"/>
        </w:rPr>
        <w:t xml:space="preserve">ПС ГКНБ КР</w:t>
      </w:r>
      <w:r>
        <w:rPr>
          <w:rFonts w:ascii="Arial" w:cs="Arial" w:eastAsia="Arial" w:hAnsi="Arial"/>
          <w:sz w:val="24"/>
          <w:szCs w:val="24"/>
        </w:rPr>
        <w:t xml:space="preserve">	</w:t>
      </w: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крупное промышленное предприятие</w:t>
      </w:r>
    </w:p>
    <w:p>
      <w:pPr>
        <w:tabs>
          <w:tab w:val="right" w:pos="10178"/>
        </w:tabs>
        <w:spacing w:after="120"/>
      </w:pPr>
      <w:r>
        <w:rPr>
          <w:rFonts w:ascii="Arial" w:cs="Arial" w:eastAsia="Arial" w:hAnsi="Arial"/>
          <w:b/>
          <w:bCs/>
          <w:sz w:val="24"/>
          <w:szCs w:val="24"/>
        </w:rPr>
        <w:t xml:space="preserve">ПЭС</w:t>
      </w:r>
      <w:r>
        <w:rPr>
          <w:rFonts w:ascii="Arial" w:cs="Arial" w:eastAsia="Arial" w:hAnsi="Arial"/>
          <w:sz w:val="24"/>
          <w:szCs w:val="24"/>
        </w:rPr>
        <w:t xml:space="preserve">	</w:t>
      </w:r>
      <w:r>
        <w:rPr>
          <w:rFonts w:ascii="Arial" w:cs="Arial" w:eastAsia="Arial" w:hAnsi="Arial"/>
          <w:sz w:val="24"/>
          <w:szCs w:val="24"/>
        </w:rPr>
        <w:t xml:space="preserve">предприятие электрических сетей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
 ГП "Кыргызкомур", ОсОО "Газпром Кыргызстана", мэриям городов Бишкек и Ош, ОАО "Кыргызнефтегаз", МП "Бишкек ТЭЦ", МП "ТЭЦ города Ош" по поставке угля, природного газа и мазута на тепловые электростанции для подготовки к осенне-зимнему сезону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a8pjahl6jpinzgqdedbfz">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(уголь, мазут - тыс.т,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3"/>
        <w:gridCol w:w="472"/>
        <w:gridCol w:w="681"/>
        <w:gridCol w:w="450"/>
        <w:gridCol w:w="450"/>
        <w:gridCol w:w="450"/>
        <w:gridCol w:w="450"/>
        <w:gridCol w:w="450"/>
        <w:gridCol w:w="450"/>
        <w:gridCol w:w="450"/>
        <w:gridCol w:w="450"/>
        <w:gridCol w:w="450"/>
        <w:gridCol w:w="450"/>
        <w:gridCol w:w="450"/>
        <w:gridCol w:w="450"/>
        <w:gridCol w:w="450"/>
        <w:gridCol w:w="450"/>
        <w:gridCol w:w="450"/>
        <w:gridCol w:w="450"/>
        <w:gridCol w:w="880"/>
      </w:tblGrid>
      <w:tr>
        <w:tc>
          <w:tcPr>
            <w:tcW w:type="dxa" w:w="9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на 01.04.24 г.</w:t>
            </w:r>
          </w:p>
        </w:tc>
        <w:tc>
          <w:tcPr>
            <w:tcW w:type="dxa" w:w="6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2024 г. и в I кв. 2025 г.</w:t>
            </w:r>
          </w:p>
        </w:tc>
        <w:tc>
          <w:tcPr>
            <w:tcW w:type="dxa" w:w="7200"/>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w:t>
            </w:r>
          </w:p>
        </w:tc>
        <w:tc>
          <w:tcPr>
            <w:tcW w:type="dxa" w:w="8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0"/>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vMerge w:val="continue"/>
            <w:tcBorders>
              <w:top w:val="single" w:color="CBBF9E" w:sz="4"/>
              <w:left w:val="none" w:color="auto" w:sz="0"/>
              <w:bottom w:val="single" w:color="CBBF9E" w:sz="4"/>
              <w:right w:val="single" w:color="CBBF9E" w:sz="4"/>
            </w:tcBorders>
          </w:tcP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 ТЭЦ"</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278,67</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566</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155,77</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446</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высококалорийный БР, БЗ 5500 ккал/кг</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124,81</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ГП "Кыргызкомур", угледобывающие предприятия, 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30,96</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18,611</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11,544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38,309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42,215</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ОсОО "Газпром Кыргызстан", 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"ТЭЦ города Ош"</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г.Ош, ОАО "КНГ", МП "ТЭЦ г.Ош"</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0,17688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2,82096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0,4432</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1,4432</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г.Ош, ОсОО "Газпром Кыргызстан", МП "ТЭЦ г.Ош"</w:t>
            </w:r>
          </w:p>
        </w:tc>
      </w:tr>
    </w:tbl>
    <w:p>
      <w:pPr>
        <w:spacing w:after="12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240" w:before="200"/>
        <w:jc w:val="center"/>
      </w:pPr>
      <w:r>
        <w:rPr>
          <w:rFonts w:ascii="Arial" w:cs="Arial" w:eastAsia="Arial" w:hAnsi="Arial"/>
          <w:b/>
          <w:bCs/>
          <w:sz w:val="32"/>
          <w:szCs w:val="32"/>
        </w:rPr>
        <w:t xml:space="preserve">ЗАДАНИЕ
 ОАО "Кыргызнефтегаз" на поставку природного газа и мазута для подготовки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8s6sfbh3-llhzi3vutii4">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4"/>
        <w:gridCol w:w="1992"/>
        <w:gridCol w:w="513"/>
        <w:gridCol w:w="513"/>
        <w:gridCol w:w="513"/>
        <w:gridCol w:w="513"/>
        <w:gridCol w:w="513"/>
        <w:gridCol w:w="513"/>
        <w:gridCol w:w="513"/>
        <w:gridCol w:w="513"/>
        <w:gridCol w:w="513"/>
        <w:gridCol w:w="513"/>
        <w:gridCol w:w="513"/>
        <w:gridCol w:w="513"/>
      </w:tblGrid>
      <w:tr>
        <w:tc>
          <w:tcPr>
            <w:tcW w:type="dxa" w:w="20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99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2024 г. и I кв. 2025 г.</w:t>
            </w:r>
          </w:p>
        </w:tc>
        <w:tc>
          <w:tcPr>
            <w:tcW w:type="dxa" w:w="6156"/>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17"/>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3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Природный газ</w:t>
            </w:r>
            <w:r>
              <w:rPr>
                <w:rFonts w:ascii="Arial" w:cs="Arial" w:eastAsia="Arial" w:hAnsi="Arial"/>
                <w:sz w:val="24"/>
                <w:szCs w:val="24"/>
              </w:rPr>
              <w:t xml:space="preserve">, </w:t>
            </w:r>
            <w:r>
              <w:rPr>
                <w:rFonts w:ascii="Arial" w:cs="Arial" w:eastAsia="Arial" w:hAnsi="Arial"/>
                <w:b/>
                <w:bCs/>
                <w:sz w:val="24"/>
                <w:szCs w:val="24"/>
              </w:rPr>
              <w:t xml:space="preserve">всего:</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17,768</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1,539</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1,648</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1,487</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1,549</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1,549</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1,364</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1,519</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1,523</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1,383</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1,219</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1,618</w:t>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w:t>
            </w:r>
          </w:p>
        </w:tc>
      </w:tr>
      <w:tr>
        <w:tc>
          <w:tcPr>
            <w:tcW w:type="dxa" w:w="203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Мазут, всего:</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47,351</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7,200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7,450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8,944</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6,864</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3,543</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2,600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г.Ош</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муниципальных теплоснабжающих предприятий</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24,351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4,944</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3,543</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ГРАФИК
 накопления воды и выработки электроэнергии электростанциями ОАО "Электрические станции", передачи и отпуска электроэнергии в электрические сети ОАО "НЭСК" и импорт электроэнергии</w:t>
      </w:r>
    </w:p>
    <w:p>
      <w:pPr>
        <w:spacing w:after="60"/>
        <w:ind w:firstLine="567"/>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2"/>
        <w:gridCol w:w="517"/>
        <w:gridCol w:w="517"/>
        <w:gridCol w:w="517"/>
        <w:gridCol w:w="517"/>
        <w:gridCol w:w="517"/>
        <w:gridCol w:w="517"/>
        <w:gridCol w:w="621"/>
        <w:gridCol w:w="621"/>
      </w:tblGrid>
      <w:tr>
        <w:tc>
          <w:tcPr>
            <w:tcW w:type="dxa" w:w="58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 мес.</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мес.</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на Токтогульском водохранилище, при среднемноголетней приточности (млрд. куб.м)</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847,70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864,01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864,01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871,42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871,42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864,47</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864,47</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849,44</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Выработка электроэнергии, всего:</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4617,3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2547,9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7165,2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2685,2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9850,4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3847,2</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13697,6</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4786,0</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3930,7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2370,8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6301,5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2574,8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8876,3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11966,8</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3910,7</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756,7</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1730,8</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875,3</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Поступление электроэнергии в сети ОАО "НЭСК"</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5070,5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2704,0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7774,4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2624,4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10398,9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3631,3</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14030,2</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4581,8</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импорт электроэнергии</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Отпуск электроэнергии от ОАО "Электрические станции" ПЭС ОАО "НЭСК", всего:</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5101,8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2631,9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7733,7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2643,4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10377,1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3726,2</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14103,3</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4631,9</w:t>
            </w:r>
          </w:p>
        </w:tc>
      </w:tr>
    </w:tbl>
    <w:p>
      <w:pPr>
        <w:spacing w:after="60" w:before="120"/>
        <w:ind w:firstLine="567"/>
        <w:jc w:val="both"/>
      </w:pPr>
      <w:r>
        <w:rPr>
          <w:rFonts w:ascii="Arial" w:cs="Arial" w:eastAsia="Arial" w:hAnsi="Arial"/>
          <w:sz w:val="24"/>
          <w:szCs w:val="24"/>
        </w:rPr>
        <w:t xml:space="preserve">Примечание: импорт электроэнергии в период до апреля 2024 года осуществляет ОАО "Электрические станции" в рамках существующих договоров на импорт электроэнергии, с 2024 года импорт электроэнергии осуществляется ОАО "Национальная электрическая сеть Кыргызстана" по следующему графику: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9"/>
        <w:gridCol w:w="775"/>
        <w:gridCol w:w="775"/>
        <w:gridCol w:w="775"/>
        <w:gridCol w:w="775"/>
        <w:gridCol w:w="775"/>
        <w:gridCol w:w="775"/>
        <w:gridCol w:w="995"/>
        <w:gridCol w:w="995"/>
      </w:tblGrid>
      <w:tr>
        <w:tc>
          <w:tcPr>
            <w:tcW w:type="dxa" w:w="3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0"/>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 мес.</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мес.</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электроэнергии ОАО "НЭСК"</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739,4</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1127,1</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1653,1</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3053,1</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электроэнергии, всего:</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1012,0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962,0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1974,0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526,0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1400,0</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3900,0</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4</w:t>
      </w:r>
    </w:p>
    <w:p>
      <w:pPr>
        <w:spacing w:after="240" w:before="200"/>
        <w:jc w:val="center"/>
      </w:pPr>
      <w:r>
        <w:rPr>
          <w:rFonts w:ascii="Arial" w:cs="Arial" w:eastAsia="Arial" w:hAnsi="Arial"/>
          <w:b/>
          <w:bCs/>
          <w:sz w:val="32"/>
          <w:szCs w:val="32"/>
        </w:rPr>
        <w:t xml:space="preserve">ЗАДАНИЕ
 мэрии города Бишкек по выработке электроэнергии и мощности на МП "Бишкек ТЭЦ" на 2024 год и I квартал 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or-zh0gtrth6fi7mtwo11">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3"/>
        <w:gridCol w:w="356"/>
        <w:gridCol w:w="491"/>
        <w:gridCol w:w="491"/>
        <w:gridCol w:w="491"/>
        <w:gridCol w:w="491"/>
        <w:gridCol w:w="491"/>
        <w:gridCol w:w="491"/>
        <w:gridCol w:w="491"/>
        <w:gridCol w:w="491"/>
        <w:gridCol w:w="491"/>
        <w:gridCol w:w="491"/>
        <w:gridCol w:w="491"/>
        <w:gridCol w:w="491"/>
        <w:gridCol w:w="491"/>
        <w:gridCol w:w="491"/>
        <w:gridCol w:w="501"/>
        <w:gridCol w:w="501"/>
        <w:gridCol w:w="501"/>
        <w:gridCol w:w="501"/>
      </w:tblGrid>
      <w:tr>
        <w:tc>
          <w:tcPr>
            <w:tcW w:type="dxa" w:w="9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3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874"/>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200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365</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686,59</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103,93</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177,13</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110,40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756,72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1730,84</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302,40</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238,08</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875,28</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мэрии города Ош по выработке электроэнергии и мощности на МП "ТЭЦ города Ош" на 2024 год и I квартал 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1"/>
        <w:gridCol w:w="545"/>
        <w:gridCol w:w="462"/>
        <w:gridCol w:w="462"/>
        <w:gridCol w:w="462"/>
        <w:gridCol w:w="462"/>
        <w:gridCol w:w="462"/>
        <w:gridCol w:w="462"/>
        <w:gridCol w:w="462"/>
        <w:gridCol w:w="462"/>
        <w:gridCol w:w="462"/>
        <w:gridCol w:w="462"/>
        <w:gridCol w:w="462"/>
        <w:gridCol w:w="462"/>
        <w:gridCol w:w="462"/>
        <w:gridCol w:w="462"/>
        <w:gridCol w:w="459"/>
        <w:gridCol w:w="459"/>
        <w:gridCol w:w="459"/>
        <w:gridCol w:w="459"/>
      </w:tblGrid>
      <w:tr>
        <w:tc>
          <w:tcPr>
            <w:tcW w:type="dxa" w:w="13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5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468"/>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3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365</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r>
      <w:tr>
        <w:tc>
          <w:tcPr>
            <w:tcW w:type="dxa" w:w="1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r>
      <w:tr>
        <w:tc>
          <w:tcPr>
            <w:tcW w:type="dxa" w:w="1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
 мэрии города Бишкек, ОАО "Электрические станции" и ОАО "НЭС Кыргызстана" по подготовке ТЭЦ и ГЭС, тепловых и электрических сетей к эксплуатации в осенне-зимний период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6bsibgnuckwbyv4hxqhad">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
        <w:gridCol w:w="3050"/>
        <w:gridCol w:w="681"/>
        <w:gridCol w:w="604"/>
        <w:gridCol w:w="604"/>
        <w:gridCol w:w="604"/>
        <w:gridCol w:w="604"/>
        <w:gridCol w:w="604"/>
        <w:gridCol w:w="3103"/>
      </w:tblGrid>
      <w:tr>
        <w:tc>
          <w:tcPr>
            <w:tcW w:type="dxa" w:w="3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оборудования</w:t>
            </w:r>
          </w:p>
        </w:tc>
        <w:tc>
          <w:tcPr>
            <w:tcW w:type="dxa" w:w="6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30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31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w:t>
            </w:r>
          </w:p>
        </w:tc>
        <w:tc>
          <w:tcPr>
            <w:vMerge w:val="continue"/>
            <w:tcBorders>
              <w:top w:val="single" w:color="CBBF9E" w:sz="4"/>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основного оборудования МП "Бишкек ТЭЦ"</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 МП "Бишкектеплосеть", МП "Бишкек ТЭЦ"</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 пара/ч</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8/1640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7/1420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Турбоагрегаты</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3/237</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Энергоблоки № 3, 4</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2040,2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тепловых сетей МП "Бишкектеплосеть"</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вышедшей из строя запорной арматуры</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1561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основного оборудования КП "Бишкектеплоэнерго"</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газовых котлов</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электродных котлов</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угольных котлов</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и ремонт вышедшей из строя запорной арматуры</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средства по ремонтам</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"НЭСК"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35 кВ и выше</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791,4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трансформаторов 35 кВ и выше</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3489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3674,4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1837,24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vMerge w:val="continue"/>
            <w:tcBorders>
              <w:top w:val="none" w:color="auto" w:sz="0"/>
              <w:left w:val="none" w:color="auto" w:sz="0"/>
              <w:bottom w:val="single" w:color="CBBF9E" w:sz="4"/>
              <w:right w:val="single" w:color="CBBF9E" w:sz="4"/>
            </w:tcBorders>
          </w:tcPr>
          <w:p/>
        </w:tc>
      </w:tr>
    </w:tbl>
    <w:p>
      <w:pPr>
        <w:spacing w:after="12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
 ОАО "НЭС Кыргызстана" по строительству и реконструкции в 2024 году</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ozsm42rdxbe3vg0nrnll_">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
        <w:gridCol w:w="3082"/>
        <w:gridCol w:w="818"/>
        <w:gridCol w:w="784"/>
        <w:gridCol w:w="784"/>
        <w:gridCol w:w="784"/>
        <w:gridCol w:w="784"/>
        <w:gridCol w:w="784"/>
        <w:gridCol w:w="1992"/>
      </w:tblGrid>
      <w:tr>
        <w:tc>
          <w:tcPr>
            <w:tcW w:type="dxa" w:w="3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0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8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39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99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Новое строительство:</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ВЛ-6/10 кВ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ВЛ-0,4 кВ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Реконструкция и расширение объектов: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ВЛ-6/10 кВ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2149828,0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165000,0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642457,0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1327371,0</w:t>
            </w:r>
          </w:p>
        </w:tc>
        <w:tc>
          <w:tcPr>
            <w:vMerge w:val="continue"/>
            <w:tcBorders>
              <w:top w:val="none" w:color="auto" w:sz="0"/>
              <w:left w:val="none" w:color="auto" w:sz="0"/>
              <w:bottom w:val="single" w:color="CBBF9E" w:sz="4"/>
              <w:right w:val="single" w:color="CBBF9E" w:sz="4"/>
            </w:tcBorders>
          </w:tcP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для подготовки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4"/>
        <w:gridCol w:w="2369"/>
        <w:gridCol w:w="726"/>
        <w:gridCol w:w="726"/>
        <w:gridCol w:w="726"/>
        <w:gridCol w:w="726"/>
        <w:gridCol w:w="726"/>
        <w:gridCol w:w="726"/>
        <w:gridCol w:w="726"/>
        <w:gridCol w:w="726"/>
        <w:gridCol w:w="726"/>
      </w:tblGrid>
      <w:tr>
        <w:tc>
          <w:tcPr>
            <w:tcW w:type="dxa" w:w="1274"/>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Наименование</w:t>
            </w:r>
          </w:p>
        </w:tc>
        <w:tc>
          <w:tcPr>
            <w:tcW w:type="dxa" w:w="2369"/>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Необходимо поставить во II-IV кв. 2024 г. и I кв. 2025 г.</w:t>
            </w:r>
          </w:p>
        </w:tc>
        <w:tc>
          <w:tcPr>
            <w:tcW w:type="dxa" w:w="653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72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II квартал 2024 года</w:t>
            </w:r>
          </w:p>
        </w:tc>
        <w:tc>
          <w:tcPr>
            <w:tcW w:type="dxa" w:w="72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III квартал 2024 года</w:t>
            </w:r>
          </w:p>
        </w:tc>
        <w:tc>
          <w:tcPr>
            <w:tcW w:type="dxa" w:w="72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 т.ч. сентябрь</w:t>
            </w:r>
          </w:p>
        </w:tc>
        <w:tc>
          <w:tcPr>
            <w:tcW w:type="dxa" w:w="21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 2024 года</w:t>
            </w:r>
          </w:p>
        </w:tc>
        <w:tc>
          <w:tcPr>
            <w:tcW w:type="dxa" w:w="21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 2025 года</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vMerge w:val="continue"/>
            <w:tcBorders>
              <w:top w:val="single" w:color="CBBF9E" w:sz="4"/>
              <w:left w:val="single" w:color="CBBF9E" w:sz="4"/>
              <w:bottom w:val="none" w:color="auto" w:sz="0"/>
              <w:right w:val="single" w:color="CBBF9E" w:sz="4"/>
            </w:tcBorders>
          </w:tcP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т.ч.:</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455,7</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53,2</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18,4</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56,8</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72,8</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63,9</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51,6</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72,8</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180,4</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22,6</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32,0</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24,8</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33,3</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
 ОсОО "Газпром Кыргызстан" по поставке природного газа муниципальным теплоснабжающим предприятиям для подготовки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nburig_no_rc8nscmonqo">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9"/>
        <w:gridCol w:w="2440"/>
        <w:gridCol w:w="740"/>
        <w:gridCol w:w="740"/>
        <w:gridCol w:w="740"/>
        <w:gridCol w:w="740"/>
        <w:gridCol w:w="740"/>
        <w:gridCol w:w="740"/>
        <w:gridCol w:w="740"/>
        <w:gridCol w:w="740"/>
        <w:gridCol w:w="740"/>
      </w:tblGrid>
      <w:tr>
        <w:tc>
          <w:tcPr>
            <w:tcW w:type="dxa" w:w="10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2024 года и I кв. 2025 года</w:t>
            </w:r>
            <w:r>
              <w:rPr>
                <w:rFonts w:ascii="Arial" w:cs="Arial" w:eastAsia="Arial" w:hAnsi="Arial"/>
                <w:b/>
                <w:bCs/>
                <w:sz w:val="24"/>
                <w:szCs w:val="24"/>
              </w:rPr>
              <w:t xml:space="preserve">ВСЕГО</w:t>
            </w:r>
          </w:p>
        </w:tc>
        <w:tc>
          <w:tcPr>
            <w:tcW w:type="dxa" w:w="666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квартал 2024 года</w:t>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квартал 2024 года</w:t>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сентябрь</w:t>
            </w:r>
          </w:p>
        </w:tc>
        <w:tc>
          <w:tcPr>
            <w:tcW w:type="dxa" w:w="222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 2024 года</w:t>
            </w:r>
          </w:p>
        </w:tc>
        <w:tc>
          <w:tcPr>
            <w:tcW w:type="dxa" w:w="222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 2025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r>
      <w:tr>
        <w:tc>
          <w:tcPr>
            <w:tcW w:type="dxa" w:w="10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2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28,953</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5,453</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для подготовки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5660"/>
        <w:gridCol w:w="718"/>
        <w:gridCol w:w="1582"/>
        <w:gridCol w:w="465"/>
        <w:gridCol w:w="465"/>
        <w:gridCol w:w="465"/>
        <w:gridCol w:w="465"/>
      </w:tblGrid>
      <w:tr>
        <w:tc>
          <w:tcPr>
            <w:tcW w:type="dxa" w:w="35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
 п/п</w:t>
            </w:r>
          </w:p>
        </w:tc>
        <w:tc>
          <w:tcPr>
            <w:tcW w:type="dxa" w:w="5660"/>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План мероприятий, наименование работ</w:t>
            </w:r>
          </w:p>
        </w:tc>
        <w:tc>
          <w:tcPr>
            <w:tcW w:type="dxa" w:w="718"/>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Ед. изм.</w:t>
            </w:r>
          </w:p>
        </w:tc>
        <w:tc>
          <w:tcPr>
            <w:tcW w:type="dxa" w:w="1582"/>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Общий объем работ</w:t>
            </w:r>
          </w:p>
        </w:tc>
        <w:tc>
          <w:tcPr>
            <w:tcW w:type="dxa" w:w="18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распределительным сетям ОсОО "Газпром Кыргызстан", в т.ч.:</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2274</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ГРП</w:t>
      </w:r>
      <w:r>
        <w:rPr>
          <w:rFonts w:ascii="Arial" w:cs="Arial" w:eastAsia="Arial" w:hAnsi="Arial"/>
          <w:sz w:val="24"/>
          <w:szCs w:val="24"/>
        </w:rPr>
        <w:t xml:space="preserve">	</w:t>
      </w:r>
      <w:r>
        <w:rPr>
          <w:rFonts w:ascii="Arial" w:cs="Arial" w:eastAsia="Arial" w:hAnsi="Arial"/>
          <w:sz w:val="24"/>
          <w:szCs w:val="24"/>
        </w:rPr>
        <w:t xml:space="preserve">газорегуляторный пункт</w:t>
      </w:r>
    </w:p>
    <w:p>
      <w:pPr>
        <w:tabs>
          <w:tab w:val="right" w:pos="10178"/>
        </w:tabs>
        <w:spacing w:after="120"/>
      </w:pPr>
      <w:r>
        <w:rPr>
          <w:rFonts w:ascii="Arial" w:cs="Arial" w:eastAsia="Arial" w:hAnsi="Arial"/>
          <w:b/>
          <w:bCs/>
          <w:sz w:val="24"/>
          <w:szCs w:val="24"/>
        </w:rPr>
        <w:t xml:space="preserve">ШГРП</w:t>
      </w:r>
      <w:r>
        <w:rPr>
          <w:rFonts w:ascii="Arial" w:cs="Arial" w:eastAsia="Arial" w:hAnsi="Arial"/>
          <w:sz w:val="24"/>
          <w:szCs w:val="24"/>
        </w:rPr>
        <w:t xml:space="preserve">	</w:t>
      </w:r>
      <w:r>
        <w:rPr>
          <w:rFonts w:ascii="Arial" w:cs="Arial" w:eastAsia="Arial" w:hAnsi="Arial"/>
          <w:sz w:val="24"/>
          <w:szCs w:val="24"/>
        </w:rPr>
        <w:t xml:space="preserve">шкафной газорегуляторный пункт</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газорегуляторная станция</w:t>
      </w:r>
    </w:p>
    <w:p>
      <w:pPr>
        <w:tabs>
          <w:tab w:val="right" w:pos="10178"/>
        </w:tabs>
        <w:spacing w:after="120"/>
      </w:pPr>
      <w:r>
        <w:rPr>
          <w:rFonts w:ascii="Arial" w:cs="Arial" w:eastAsia="Arial" w:hAnsi="Arial"/>
          <w:b/>
          <w:bCs/>
          <w:sz w:val="24"/>
          <w:szCs w:val="24"/>
        </w:rPr>
        <w:t xml:space="preserve">АГРС</w:t>
      </w:r>
      <w:r>
        <w:rPr>
          <w:rFonts w:ascii="Arial" w:cs="Arial" w:eastAsia="Arial" w:hAnsi="Arial"/>
          <w:sz w:val="24"/>
          <w:szCs w:val="24"/>
        </w:rPr>
        <w:t xml:space="preserve">	</w:t>
      </w:r>
      <w:r>
        <w:rPr>
          <w:rFonts w:ascii="Arial" w:cs="Arial" w:eastAsia="Arial" w:hAnsi="Arial"/>
          <w:sz w:val="24"/>
          <w:szCs w:val="24"/>
        </w:rPr>
        <w:t xml:space="preserve">автоматическая газорегуляторная станция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0</w:t>
      </w:r>
    </w:p>
    <w:p>
      <w:pPr>
        <w:spacing w:after="240" w:before="200"/>
        <w:jc w:val="center"/>
      </w:pPr>
      <w:r>
        <w:rPr>
          <w:rFonts w:ascii="Arial" w:cs="Arial" w:eastAsia="Arial" w:hAnsi="Arial"/>
          <w:b/>
          <w:bCs/>
          <w:sz w:val="32"/>
          <w:szCs w:val="32"/>
        </w:rPr>
        <w:t xml:space="preserve">ЗАДАНИЕ
 муниципальным теплоснабжающим предприятиям, КП "Бишкектеплоэнерго" и Ошскому МП "Теплоснабжение" по подготовке отопительных котельных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n2myp4vtr121a4fjkkecq">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8"/>
        <w:gridCol w:w="1771"/>
        <w:gridCol w:w="917"/>
        <w:gridCol w:w="917"/>
        <w:gridCol w:w="917"/>
        <w:gridCol w:w="917"/>
      </w:tblGrid>
      <w:tr>
        <w:tc>
          <w:tcPr>
            <w:tcW w:type="dxa" w:w="473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области</w:t>
            </w:r>
          </w:p>
        </w:tc>
        <w:tc>
          <w:tcPr>
            <w:tcW w:type="dxa" w:w="17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котельных</w:t>
            </w:r>
          </w:p>
        </w:tc>
        <w:tc>
          <w:tcPr>
            <w:tcW w:type="dxa" w:w="36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газе</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мазуте</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угле</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электроэнергии</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КП "Бишкектеплоэнерго" мэрии города Бишкек</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Муниципальные теплоснабжающие предприятия в том числе:</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Ошское МП "Теплоснабжение" мэрии города Ош</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fxh-zdync6eplc8ycbm">
      <w:r>
        <w:rPr>
          <w:rFonts w:ascii="Arial" w:cs="Arial" w:eastAsia="Arial" w:hAnsi="Arial"/>
          <w:color w:val="132D3F"/>
          <w:sz w:val="16"/>
          <w:szCs w:val="16"/>
          <w:u w:val="single"/>
        </w:rPr>
        <w:t xml:space="preserve">dalil.kg/document/230007855</w:t>
      </w:r>
    </w:hyperlink>
  </w:p>
  <w:p>
    <w:pPr>
      <w:spacing w:after="0" w:before="40"/>
      <w:jc w:val="center"/>
    </w:pPr>
    <w:hyperlink w:history="1" r:id="rIdj9bbdw-zjykl1es648hb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wkzq31bj-bbmvf7myojy" Type="http://schemas.openxmlformats.org/officeDocument/2006/relationships/hyperlink" Target="https://dalil.kg/document/230029332" TargetMode="External"/><Relationship Id="rIdqjsqtta0oozhnzkscp2ue" Type="http://schemas.openxmlformats.org/officeDocument/2006/relationships/hyperlink" Target="https://dalil.kg/document/230010371" TargetMode="External"/><Relationship Id="rIdxfd2-qwiddyme7u28okcq" Type="http://schemas.openxmlformats.org/officeDocument/2006/relationships/hyperlink" Target="https://dalil.kg/document/230019956" TargetMode="External"/><Relationship Id="rIdinnn8gv8lbsqdsetqjpf5" Type="http://schemas.openxmlformats.org/officeDocument/2006/relationships/hyperlink" Target="https://dalil.kg/document/230019956" TargetMode="External"/><Relationship Id="rIdcxdawfqsz7djwaz7nbv5b" Type="http://schemas.openxmlformats.org/officeDocument/2006/relationships/hyperlink" Target="https://dalil.kg/document/230019956" TargetMode="External"/><Relationship Id="rIdftauu08szefuoxgfnsdej" Type="http://schemas.openxmlformats.org/officeDocument/2006/relationships/hyperlink" Target="https://dalil.kg/document/230019956" TargetMode="External"/><Relationship Id="rIdpydxutf4dvptxccnuote4" Type="http://schemas.openxmlformats.org/officeDocument/2006/relationships/hyperlink" Target="https://dalil.kg/document/230002103" TargetMode="External"/><Relationship Id="rIdt8fukw9jzmsb2yudorjti" Type="http://schemas.openxmlformats.org/officeDocument/2006/relationships/hyperlink" Target="https://dalil.kg/document/230002103" TargetMode="External"/><Relationship Id="rIdph3phbck7bdzqwqkdkafp" Type="http://schemas.openxmlformats.org/officeDocument/2006/relationships/hyperlink" Target="https://dalil.kg/document/230019956" TargetMode="External"/><Relationship Id="rIdxwstlg-wongsudulbdyqe" Type="http://schemas.openxmlformats.org/officeDocument/2006/relationships/hyperlink" Target="https://dalil.kg/document/230010371" TargetMode="External"/><Relationship Id="rIdwd2paz7rsofngrgsy02wh" Type="http://schemas.openxmlformats.org/officeDocument/2006/relationships/hyperlink" Target="https://dalil.kg/document/230019956" TargetMode="External"/><Relationship Id="rIdlntxfvvzdc9fznmnk3v6w" Type="http://schemas.openxmlformats.org/officeDocument/2006/relationships/hyperlink" Target="https://dalil.kg/document/230010371" TargetMode="External"/><Relationship Id="rId6snchk4fqvc3tjlg3m_xh" Type="http://schemas.openxmlformats.org/officeDocument/2006/relationships/hyperlink" Target="https://dalil.kg/document/230019956" TargetMode="External"/><Relationship Id="rId19f8iwlzehzldx30vpj1i" Type="http://schemas.openxmlformats.org/officeDocument/2006/relationships/hyperlink" Target="https://dalil.kg/document/230019956" TargetMode="External"/><Relationship Id="rIdljzttcdmt1vfb-sd8sfku" Type="http://schemas.openxmlformats.org/officeDocument/2006/relationships/hyperlink" Target="https://dalil.kg/document/160204" TargetMode="External"/><Relationship Id="rIdr_m2ntomsmw7iu6idvvbi" Type="http://schemas.openxmlformats.org/officeDocument/2006/relationships/hyperlink" Target="https://dalil.kg/document/160558" TargetMode="External"/><Relationship Id="rIdcfr9rgpayvkz6ui7nypqm" Type="http://schemas.openxmlformats.org/officeDocument/2006/relationships/hyperlink" Target="https://dalil.kg/document/160204" TargetMode="External"/><Relationship Id="rIdvgke1i7x1rpl4m38n2c08" Type="http://schemas.openxmlformats.org/officeDocument/2006/relationships/hyperlink" Target="https://dalil.kg/document/230019956" TargetMode="External"/><Relationship Id="rIdantabhjeta4doenjrtzbq" Type="http://schemas.openxmlformats.org/officeDocument/2006/relationships/hyperlink" Target="https://dalil.kg/document/230019956" TargetMode="External"/><Relationship Id="rId8gvoo4sbnxm7orvidr0al" Type="http://schemas.openxmlformats.org/officeDocument/2006/relationships/hyperlink" Target="https://dalil.kg/document/230019956" TargetMode="External"/><Relationship Id="rIda9jkhweulufmxfytestgz" Type="http://schemas.openxmlformats.org/officeDocument/2006/relationships/hyperlink" Target="https://dalil.kg/document/230019956" TargetMode="External"/><Relationship Id="rIdbxerme25basa08cg8fcbm" Type="http://schemas.openxmlformats.org/officeDocument/2006/relationships/hyperlink" Target="https://dalil.kg/document/230019956" TargetMode="External"/><Relationship Id="rId6ye8jbvojqoeqzbszvm2v" Type="http://schemas.openxmlformats.org/officeDocument/2006/relationships/hyperlink" Target="https://dalil.kg/document/230019956" TargetMode="External"/><Relationship Id="rIdnv5xdjbadlts4ner4ka3m" Type="http://schemas.openxmlformats.org/officeDocument/2006/relationships/hyperlink" Target="https://dalil.kg/document/230019956" TargetMode="External"/><Relationship Id="rIdt-9gsj0qfsba9kqjhrq28" Type="http://schemas.openxmlformats.org/officeDocument/2006/relationships/hyperlink" Target="https://dalil.kg/document/230019956" TargetMode="External"/><Relationship Id="rIda8pjahl6jpinzgqdedbfz" Type="http://schemas.openxmlformats.org/officeDocument/2006/relationships/hyperlink" Target="https://dalil.kg/document/230019956" TargetMode="External"/><Relationship Id="rId8s6sfbh3-llhzi3vutii4" Type="http://schemas.openxmlformats.org/officeDocument/2006/relationships/hyperlink" Target="https://dalil.kg/document/230019956" TargetMode="External"/><Relationship Id="rIdor-zh0gtrth6fi7mtwo11" Type="http://schemas.openxmlformats.org/officeDocument/2006/relationships/hyperlink" Target="https://dalil.kg/document/230019956" TargetMode="External"/><Relationship Id="rId6bsibgnuckwbyv4hxqhad" Type="http://schemas.openxmlformats.org/officeDocument/2006/relationships/hyperlink" Target="https://dalil.kg/document/230019956" TargetMode="External"/><Relationship Id="rIdozsm42rdxbe3vg0nrnll_" Type="http://schemas.openxmlformats.org/officeDocument/2006/relationships/hyperlink" Target="https://dalil.kg/document/230019956" TargetMode="External"/><Relationship Id="rIdnburig_no_rc8nscmonqo" Type="http://schemas.openxmlformats.org/officeDocument/2006/relationships/hyperlink" Target="https://dalil.kg/document/230019956" TargetMode="External"/><Relationship Id="rIdn2myp4vtr121a4fjkkecq" Type="http://schemas.openxmlformats.org/officeDocument/2006/relationships/hyperlink" Target="https://dalil.kg/document/230019956"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fxh-zdync6eplc8ycbm" Type="http://schemas.openxmlformats.org/officeDocument/2006/relationships/hyperlink" Target="https://dalil.kg/document/230007855" TargetMode="External"/><Relationship Id="rIdj9bbdw-zjykl1es648hb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2026-09-24T14:03:05.509Z</dcterms:created>
  <dcterms:modified xsi:type="dcterms:W3CDTF">2026-09-24T14:03:05.509Z</dcterms:modified>
</cp:coreProperties>
</file>

<file path=docProps/custom.xml><?xml version="1.0" encoding="utf-8"?>
<Properties xmlns="http://schemas.openxmlformats.org/officeDocument/2006/custom-properties" xmlns:vt="http://schemas.openxmlformats.org/officeDocument/2006/docPropsVTypes"/>
</file>