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Соглашению между Кыргызской Республикой и Словацкой Республикой об исключении двойного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налогообложения в отношении налогов на доходы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предотвращении уклонени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от уплаты налогов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избежани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налогообложени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подписанному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 марта 2024 года в городе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Кыргызской Республикой и Словацкой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подписанное 13 марта 2024 года в городе Бишкек, соответствует нормам </w:t>
      </w:r>
      <w:hyperlink w:history="1" r:id="rIdqisd4bdckha86z37rvr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соответствии с </w:t>
      </w:r>
      <w:hyperlink w:history="1" r:id="rIdjh0s69evpsnqfroqfib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Соглашение до его подписания в установленном порядке согласовано с министерствами и ведомствами Кыргызской Республики, профильными комитетами Жогорку 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неша Кыргызской 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еспублики: Комитетом по бюджету, экономической и фискальной политике, Комитетом по международным делам, обороне, безопасности и миграции и одобрено распоряжением Кабинета Министров Кыргызской Республики от 22 февраля 2023 года № 69-р.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рассматривается в качестве средства привлечения прямых иностранных инвестиций в экономику республики и создает условия иностранным компаниям для инвестирования в различные отрасли экономики нашей страны путем исключения двойного налогообложения и предоставления гарантий по обложению налогами только в одной стране.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основными задачами данного Соглашения являются защита резидента одного государства от дискриминационного налогообложения в другом договаривающемся государстве, недопущение уклонений от налогообложения или злоупотреблений положениями Соглашения, взаимный обмен информацией между компетентными органами договаривающихся государств 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 обеспечения выполнения положений 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Соглашение необходимо для выработки обще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 подхода во взаимоотношениях налогового законодательства </w:t>
      </w:r>
      <w:r>
        <w:rPr>
          <w:rFonts w:ascii="Arial" w:cs="Arial" w:eastAsia="Arial" w:hAnsi="Arial"/>
          <w:sz w:val="24"/>
          <w:szCs w:val="24"/>
        </w:rPr>
        <w:t xml:space="preserve">нашего </w:t>
      </w:r>
      <w:r>
        <w:rPr>
          <w:rFonts w:ascii="Arial" w:cs="Arial" w:eastAsia="Arial" w:hAnsi="Arial"/>
          <w:sz w:val="24"/>
          <w:szCs w:val="24"/>
        </w:rPr>
        <w:t xml:space="preserve">государства со Словацкой Республикой, который одновременно отражал бы национальные положения в налоговом законод</w:t>
      </w:r>
      <w:r>
        <w:rPr>
          <w:rFonts w:ascii="Arial" w:cs="Arial" w:eastAsia="Arial" w:hAnsi="Arial"/>
          <w:sz w:val="24"/>
          <w:szCs w:val="24"/>
        </w:rPr>
        <w:t xml:space="preserve">ательст</w:t>
      </w:r>
      <w:r>
        <w:rPr>
          <w:rFonts w:ascii="Arial" w:cs="Arial" w:eastAsia="Arial" w:hAnsi="Arial"/>
          <w:sz w:val="24"/>
          <w:szCs w:val="24"/>
        </w:rPr>
        <w:t xml:space="preserve">ве Кыргызской Республики. Более того, отмечаем, что вышеуказанное Соглашение является единой формой в решении тех общих пробл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м и </w:t>
      </w:r>
      <w:r>
        <w:rPr>
          <w:rFonts w:ascii="Arial" w:cs="Arial" w:eastAsia="Arial" w:hAnsi="Arial"/>
          <w:sz w:val="24"/>
          <w:szCs w:val="24"/>
        </w:rPr>
        <w:t xml:space="preserve">задач, которые возникают в правовой сфере международного двойного налогообложения.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позволит увеличить товорооборот и об</w:t>
      </w:r>
      <w:r>
        <w:rPr>
          <w:rFonts w:ascii="Arial" w:cs="Arial" w:eastAsia="Arial" w:hAnsi="Arial"/>
          <w:sz w:val="24"/>
          <w:szCs w:val="24"/>
        </w:rPr>
        <w:t xml:space="preserve">ъ</w:t>
      </w:r>
      <w:r>
        <w:rPr>
          <w:rFonts w:ascii="Arial" w:cs="Arial" w:eastAsia="Arial" w:hAnsi="Arial"/>
          <w:sz w:val="24"/>
          <w:szCs w:val="24"/>
        </w:rPr>
        <w:t xml:space="preserve">ем инвестиций между странами.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6odqkqhru7wj-pmkzm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 данное </w:t>
      </w:r>
      <w:r>
        <w:rPr>
          <w:rFonts w:ascii="Arial" w:cs="Arial" w:eastAsia="Arial" w:hAnsi="Arial"/>
          <w:sz w:val="24"/>
          <w:szCs w:val="24"/>
        </w:rPr>
        <w:t xml:space="preserve">Соглашение вносится на ратификацию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требует финансовых затрат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а также не повлечет социальных, экономических, правовых, правозащитных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гендерных, экологических, коррупционных последствий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fow6czxe4qiashxdn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dalil.kg/document/230009361</w:t>
      </w:r>
    </w:hyperlink>
  </w:p>
  <w:p>
    <w:pPr>
      <w:spacing w:after="0" w:before="40"/>
      <w:jc w:val="center"/>
    </w:pPr>
    <w:hyperlink w:history="1" r:id="rIdtlb6henxaitokwirftx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sd4bdckha86z37rvruo" Type="http://schemas.openxmlformats.org/officeDocument/2006/relationships/hyperlink" Target="https://dalil.kg/document/112213" TargetMode="External"/><Relationship Id="rIdjh0s69evpsnqfroqfib4h" Type="http://schemas.openxmlformats.org/officeDocument/2006/relationships/hyperlink" Target="https://dalil.kg/document/205286" TargetMode="External"/><Relationship Id="rIdl6odqkqhru7wj-pmkzmex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fow6czxe4qiashxdnhd" Type="http://schemas.openxmlformats.org/officeDocument/2006/relationships/hyperlink" Target="https://dalil.kg/document/230009361" TargetMode="External"/><Relationship Id="rIdtlb6henxaitokwirftx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2026-09-28T00:18:30.122Z</dcterms:created>
  <dcterms:modified xsi:type="dcterms:W3CDTF">2026-09-28T00:18:30.122Z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